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12" w:type="dxa"/>
        <w:tblLayout w:type="fixed"/>
        <w:tblCellMar>
          <w:left w:w="14" w:type="dxa"/>
          <w:right w:w="14" w:type="dxa"/>
        </w:tblCellMar>
        <w:tblLook w:val="0000" w:firstRow="0" w:lastRow="0" w:firstColumn="0" w:lastColumn="0" w:noHBand="0" w:noVBand="0"/>
      </w:tblPr>
      <w:tblGrid>
        <w:gridCol w:w="3544"/>
        <w:gridCol w:w="7371"/>
      </w:tblGrid>
      <w:tr w:rsidR="00B54201">
        <w:tc>
          <w:tcPr>
            <w:tcW w:w="3544" w:type="dxa"/>
          </w:tcPr>
          <w:p w:rsidR="00B54201" w:rsidRDefault="00045B88">
            <w:r>
              <w:t>G</w:t>
            </w:r>
            <w:r>
              <w:rPr>
                <w:noProof/>
                <w:lang w:eastAsia="en-NZ"/>
              </w:rPr>
              <w:drawing>
                <wp:inline distT="0" distB="0" distL="0" distR="0">
                  <wp:extent cx="2314575" cy="5048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4575" cy="5048250"/>
                          </a:xfrm>
                          <a:prstGeom prst="rect">
                            <a:avLst/>
                          </a:prstGeom>
                          <a:noFill/>
                          <a:ln>
                            <a:noFill/>
                          </a:ln>
                        </pic:spPr>
                      </pic:pic>
                    </a:graphicData>
                  </a:graphic>
                </wp:inline>
              </w:drawing>
            </w:r>
          </w:p>
        </w:tc>
        <w:tc>
          <w:tcPr>
            <w:tcW w:w="7371" w:type="dxa"/>
          </w:tcPr>
          <w:p w:rsidR="00B54201" w:rsidRDefault="00382E7E">
            <w:pPr>
              <w:pStyle w:val="Title"/>
              <w:spacing w:before="2040"/>
            </w:pPr>
            <w:r>
              <w:t>Water Safety</w:t>
            </w:r>
            <w:r w:rsidR="00045B88">
              <w:t xml:space="preserve"> Plan Guide</w:t>
            </w:r>
          </w:p>
          <w:p w:rsidR="00B54201" w:rsidRDefault="00045B88">
            <w:pPr>
              <w:pStyle w:val="Subhead"/>
            </w:pPr>
            <w:r>
              <w:t xml:space="preserve">Distribution System </w:t>
            </w:r>
            <w:r>
              <w:br/>
              <w:t>– Backflow Prevention</w:t>
            </w:r>
          </w:p>
          <w:p w:rsidR="00B54201" w:rsidRDefault="00045B88">
            <w:pPr>
              <w:pStyle w:val="Subhead"/>
            </w:pPr>
            <w:r>
              <w:t>Version 1, Ref D2.4</w:t>
            </w:r>
          </w:p>
          <w:p w:rsidR="00B54201" w:rsidRDefault="00045B88">
            <w:pPr>
              <w:pStyle w:val="Subhead"/>
              <w:spacing w:before="8500"/>
              <w:rPr>
                <w:b/>
                <w:sz w:val="72"/>
              </w:rPr>
            </w:pPr>
            <w:r>
              <w:rPr>
                <w:b/>
                <w:sz w:val="72"/>
              </w:rPr>
              <w:t>J</w:t>
            </w:r>
            <w:r w:rsidR="00467130">
              <w:rPr>
                <w:b/>
                <w:sz w:val="72"/>
              </w:rPr>
              <w:t>anuary</w:t>
            </w:r>
            <w:r>
              <w:rPr>
                <w:b/>
                <w:sz w:val="72"/>
              </w:rPr>
              <w:t xml:space="preserve"> 20</w:t>
            </w:r>
            <w:r w:rsidR="00467130">
              <w:rPr>
                <w:b/>
                <w:sz w:val="72"/>
              </w:rPr>
              <w:t>14</w:t>
            </w:r>
          </w:p>
          <w:p w:rsidR="00B54201" w:rsidRDefault="00B54201">
            <w:pPr>
              <w:pStyle w:val="Subhead"/>
            </w:pPr>
          </w:p>
        </w:tc>
      </w:tr>
    </w:tbl>
    <w:p w:rsidR="00B54201" w:rsidRDefault="00B54201">
      <w:pPr>
        <w:sectPr w:rsidR="00B54201">
          <w:pgSz w:w="11907" w:h="16834" w:code="9"/>
          <w:pgMar w:top="0" w:right="1134" w:bottom="851" w:left="340" w:header="0" w:footer="0" w:gutter="0"/>
          <w:cols w:space="720"/>
        </w:sectPr>
      </w:pPr>
    </w:p>
    <w:p w:rsidR="00382E7E" w:rsidRDefault="00382E7E">
      <w:pPr>
        <w:pStyle w:val="Imprint"/>
      </w:pPr>
      <w:r>
        <w:lastRenderedPageBreak/>
        <w:t xml:space="preserve">Citation: Ministry of Health. 2014. </w:t>
      </w:r>
      <w:r>
        <w:rPr>
          <w:i/>
          <w:iCs/>
        </w:rPr>
        <w:t>Water Safety Plan Guide: Distribution System – Backflow Prevention, Version 1, ref D2.4.</w:t>
      </w:r>
      <w:r>
        <w:t xml:space="preserve"> Wellington: Ministry of Health.</w:t>
      </w:r>
    </w:p>
    <w:p w:rsidR="00B54201" w:rsidRDefault="00045B88">
      <w:pPr>
        <w:pStyle w:val="Imprint"/>
      </w:pPr>
      <w:r>
        <w:t xml:space="preserve">Published </w:t>
      </w:r>
      <w:r w:rsidR="00382E7E">
        <w:t>in January 2014</w:t>
      </w:r>
      <w:r w:rsidR="00382E7E">
        <w:br/>
        <w:t xml:space="preserve">by the </w:t>
      </w:r>
      <w:r>
        <w:t>Ministry of Health</w:t>
      </w:r>
      <w:r>
        <w:br/>
        <w:t>PO Box 5013, Wellington, New Zealand</w:t>
      </w:r>
    </w:p>
    <w:p w:rsidR="00B54201" w:rsidRDefault="00045B88">
      <w:pPr>
        <w:pStyle w:val="Imprint"/>
      </w:pPr>
      <w:r>
        <w:t xml:space="preserve">ISBN: </w:t>
      </w:r>
      <w:r w:rsidR="0069744B">
        <w:t>978-</w:t>
      </w:r>
      <w:r>
        <w:t>0-478-</w:t>
      </w:r>
      <w:r w:rsidR="00382E7E">
        <w:t>42768-4</w:t>
      </w:r>
      <w:r>
        <w:t xml:space="preserve"> (</w:t>
      </w:r>
      <w:r w:rsidR="00382E7E">
        <w:t>print</w:t>
      </w:r>
      <w:r>
        <w:t>)</w:t>
      </w:r>
      <w:r>
        <w:br/>
        <w:t xml:space="preserve">ISBN: </w:t>
      </w:r>
      <w:r w:rsidR="0069744B">
        <w:t>978-</w:t>
      </w:r>
      <w:r>
        <w:t>0-478-</w:t>
      </w:r>
      <w:r w:rsidR="00382E7E">
        <w:t>42769-1</w:t>
      </w:r>
      <w:r>
        <w:t xml:space="preserve"> (</w:t>
      </w:r>
      <w:r w:rsidR="00382E7E">
        <w:t>online</w:t>
      </w:r>
      <w:r>
        <w:t>)</w:t>
      </w:r>
    </w:p>
    <w:p w:rsidR="00382E7E" w:rsidRDefault="00382E7E" w:rsidP="00382E7E">
      <w:pPr>
        <w:pStyle w:val="Imprint"/>
        <w:pBdr>
          <w:top w:val="single" w:sz="4" w:space="10" w:color="auto"/>
          <w:left w:val="single" w:sz="4" w:space="4" w:color="auto"/>
          <w:bottom w:val="single" w:sz="4" w:space="10" w:color="auto"/>
          <w:right w:val="single" w:sz="4" w:space="4" w:color="auto"/>
        </w:pBdr>
      </w:pPr>
      <w:r>
        <w:t xml:space="preserve">Previously published in 2001 as </w:t>
      </w:r>
      <w:r>
        <w:rPr>
          <w:i/>
          <w:iCs/>
        </w:rPr>
        <w:t>Public Health Risk Management Plan Guide: Distribution System – Backflow Prevention, Version 1, ref D2.4.</w:t>
      </w:r>
      <w:r>
        <w:t xml:space="preserve"> This publication’s title and any reference within the text to </w:t>
      </w:r>
      <w:r>
        <w:rPr>
          <w:iCs/>
        </w:rPr>
        <w:t xml:space="preserve">‘public health risk management plan’ </w:t>
      </w:r>
      <w:r>
        <w:t xml:space="preserve">were changed in January 2014 </w:t>
      </w:r>
      <w:r>
        <w:rPr>
          <w:iCs/>
        </w:rPr>
        <w:t>to reflect the December 2013 legislation change of the term ‘public health risk management plan’ to ‘water safety plan’. No other changes have been made to this document.</w:t>
      </w:r>
    </w:p>
    <w:p w:rsidR="00B54201" w:rsidRDefault="00045B88">
      <w:pPr>
        <w:pStyle w:val="Imprint"/>
      </w:pPr>
      <w:r>
        <w:t xml:space="preserve">This document is available </w:t>
      </w:r>
      <w:r w:rsidR="00382E7E">
        <w:t xml:space="preserve">at: </w:t>
      </w:r>
      <w:r>
        <w:t>www.</w:t>
      </w:r>
      <w:r w:rsidR="00382E7E">
        <w:t>health</w:t>
      </w:r>
      <w:r>
        <w:t>.govt.nz</w:t>
      </w:r>
    </w:p>
    <w:p w:rsidR="00B54201" w:rsidRDefault="00045B88">
      <w:pPr>
        <w:jc w:val="center"/>
        <w:rPr>
          <w:b/>
        </w:rPr>
      </w:pPr>
      <w:r>
        <w:rPr>
          <w:b/>
          <w:noProof/>
          <w:lang w:eastAsia="en-NZ"/>
        </w:rPr>
        <w:drawing>
          <wp:inline distT="0" distB="0" distL="0" distR="0">
            <wp:extent cx="16192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666750"/>
                    </a:xfrm>
                    <a:prstGeom prst="rect">
                      <a:avLst/>
                    </a:prstGeom>
                    <a:noFill/>
                    <a:ln>
                      <a:noFill/>
                    </a:ln>
                  </pic:spPr>
                </pic:pic>
              </a:graphicData>
            </a:graphic>
          </wp:inline>
        </w:drawing>
      </w:r>
    </w:p>
    <w:p w:rsidR="004D6ED1" w:rsidRPr="00D535D0" w:rsidRDefault="004D6ED1" w:rsidP="004D6ED1">
      <w:pPr>
        <w:pStyle w:val="Heading3"/>
        <w:shd w:val="clear" w:color="auto" w:fill="FFFFFF"/>
        <w:ind w:right="-851"/>
        <w:rPr>
          <w:b w:val="0"/>
          <w:sz w:val="22"/>
          <w:szCs w:val="22"/>
        </w:rPr>
      </w:pPr>
      <w:r>
        <w:rPr>
          <w:rStyle w:val="A4"/>
          <w:b w:val="0"/>
          <w:noProof/>
          <w:sz w:val="22"/>
          <w:szCs w:val="22"/>
          <w:lang w:eastAsia="en-NZ"/>
        </w:rPr>
        <w:drawing>
          <wp:inline distT="0" distB="0" distL="0" distR="0">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Pr>
          <w:rStyle w:val="A4"/>
          <w:b w:val="0"/>
          <w:sz w:val="22"/>
          <w:szCs w:val="22"/>
        </w:rPr>
        <w:t xml:space="preserve"> </w:t>
      </w:r>
      <w:r w:rsidRPr="00D535D0">
        <w:rPr>
          <w:rStyle w:val="A4"/>
          <w:b w:val="0"/>
          <w:sz w:val="18"/>
          <w:szCs w:val="18"/>
        </w:rPr>
        <w:t>This work is licensed under the Creative Commons Attribution 4.0 Interna</w:t>
      </w:r>
      <w:r>
        <w:rPr>
          <w:rStyle w:val="A4"/>
          <w:b w:val="0"/>
          <w:sz w:val="18"/>
          <w:szCs w:val="18"/>
        </w:rPr>
        <w:t>tional</w:t>
      </w:r>
      <w:r w:rsidRPr="00D535D0">
        <w:rPr>
          <w:rStyle w:val="A4"/>
          <w:b w:val="0"/>
          <w:sz w:val="18"/>
          <w:szCs w:val="18"/>
        </w:rPr>
        <w:t xml:space="preserve"> licence. In essence, </w:t>
      </w:r>
      <w:r w:rsidRPr="00D535D0">
        <w:rPr>
          <w:rFonts w:cs="Arial"/>
          <w:b w:val="0"/>
          <w:bCs/>
          <w:sz w:val="18"/>
          <w:szCs w:val="18"/>
        </w:rPr>
        <w:t xml:space="preserve">you are free to: </w:t>
      </w:r>
      <w:r w:rsidRPr="00D535D0">
        <w:rPr>
          <w:rFonts w:cs="Arial"/>
          <w:b w:val="0"/>
          <w:sz w:val="18"/>
          <w:szCs w:val="18"/>
        </w:rPr>
        <w:t xml:space="preserve">share ie, copy and redistribute the material in any medium or format; adapt ie, remix, transform and build upon the material. </w:t>
      </w:r>
      <w:r w:rsidRPr="00D535D0">
        <w:rPr>
          <w:rFonts w:cs="Arial"/>
          <w:b w:val="0"/>
          <w:bCs/>
          <w:sz w:val="18"/>
          <w:szCs w:val="18"/>
        </w:rPr>
        <w:t>You must give appropriate credit, provide a link to the licence and indicate if changes were made.</w:t>
      </w:r>
    </w:p>
    <w:p w:rsidR="00B54201" w:rsidRDefault="00B54201">
      <w:pPr>
        <w:jc w:val="center"/>
        <w:sectPr w:rsidR="00B54201" w:rsidSect="004D6ED1">
          <w:footerReference w:type="even" r:id="rId10"/>
          <w:footerReference w:type="default" r:id="rId11"/>
          <w:pgSz w:w="11907" w:h="16834" w:code="9"/>
          <w:pgMar w:top="6521" w:right="2268" w:bottom="1871" w:left="2268" w:header="0" w:footer="0" w:gutter="0"/>
          <w:cols w:space="720"/>
        </w:sectPr>
      </w:pPr>
    </w:p>
    <w:p w:rsidR="00B54201" w:rsidRDefault="00045B88">
      <w:pPr>
        <w:pStyle w:val="IntroHead"/>
      </w:pPr>
      <w:bookmarkStart w:id="0" w:name="_Toc405792991"/>
      <w:bookmarkStart w:id="1" w:name="_Toc405793224"/>
      <w:r>
        <w:lastRenderedPageBreak/>
        <w:t>Contents</w:t>
      </w:r>
      <w:bookmarkEnd w:id="0"/>
      <w:bookmarkEnd w:id="1"/>
    </w:p>
    <w:p w:rsidR="00045B88" w:rsidRDefault="00045B88">
      <w:pPr>
        <w:pStyle w:val="TOC1"/>
        <w:rPr>
          <w:rFonts w:asciiTheme="minorHAnsi" w:eastAsiaTheme="minorEastAsia" w:hAnsiTheme="minorHAnsi" w:cstheme="minorBidi"/>
          <w:noProof/>
          <w:sz w:val="22"/>
          <w:szCs w:val="22"/>
          <w:lang w:eastAsia="en-NZ"/>
        </w:rPr>
      </w:pPr>
      <w:r>
        <w:rPr>
          <w:rFonts w:ascii="Arial" w:hAnsi="Arial"/>
          <w:b/>
          <w:sz w:val="24"/>
        </w:rPr>
        <w:fldChar w:fldCharType="begin"/>
      </w:r>
      <w:r>
        <w:rPr>
          <w:rFonts w:ascii="Arial" w:hAnsi="Arial"/>
          <w:b/>
          <w:sz w:val="24"/>
        </w:rPr>
        <w:instrText xml:space="preserve"> TOC \o "1-3" </w:instrText>
      </w:r>
      <w:r>
        <w:rPr>
          <w:rFonts w:ascii="Arial" w:hAnsi="Arial"/>
          <w:b/>
          <w:sz w:val="24"/>
        </w:rPr>
        <w:fldChar w:fldCharType="separate"/>
      </w:r>
      <w:r>
        <w:rPr>
          <w:noProof/>
        </w:rPr>
        <w:t>Introduction</w:t>
      </w:r>
      <w:r>
        <w:rPr>
          <w:noProof/>
        </w:rPr>
        <w:tab/>
      </w:r>
      <w:r>
        <w:rPr>
          <w:noProof/>
        </w:rPr>
        <w:fldChar w:fldCharType="begin"/>
      </w:r>
      <w:r>
        <w:rPr>
          <w:noProof/>
        </w:rPr>
        <w:instrText xml:space="preserve"> PAGEREF _Toc378942112 \h </w:instrText>
      </w:r>
      <w:r>
        <w:rPr>
          <w:noProof/>
        </w:rPr>
      </w:r>
      <w:r>
        <w:rPr>
          <w:noProof/>
        </w:rPr>
        <w:fldChar w:fldCharType="separate"/>
      </w:r>
      <w:r>
        <w:rPr>
          <w:noProof/>
        </w:rPr>
        <w:t>1</w:t>
      </w:r>
      <w:r>
        <w:rPr>
          <w:noProof/>
        </w:rPr>
        <w:fldChar w:fldCharType="end"/>
      </w:r>
    </w:p>
    <w:p w:rsidR="00045B88" w:rsidRDefault="00045B88">
      <w:pPr>
        <w:pStyle w:val="TOC1"/>
        <w:rPr>
          <w:rFonts w:asciiTheme="minorHAnsi" w:eastAsiaTheme="minorEastAsia" w:hAnsiTheme="minorHAnsi" w:cstheme="minorBidi"/>
          <w:noProof/>
          <w:sz w:val="22"/>
          <w:szCs w:val="22"/>
          <w:lang w:eastAsia="en-NZ"/>
        </w:rPr>
      </w:pPr>
      <w:r>
        <w:rPr>
          <w:noProof/>
        </w:rPr>
        <w:t>Risk Summary</w:t>
      </w:r>
      <w:r>
        <w:rPr>
          <w:noProof/>
        </w:rPr>
        <w:tab/>
      </w:r>
      <w:r>
        <w:rPr>
          <w:noProof/>
        </w:rPr>
        <w:fldChar w:fldCharType="begin"/>
      </w:r>
      <w:r>
        <w:rPr>
          <w:noProof/>
        </w:rPr>
        <w:instrText xml:space="preserve"> PAGEREF _Toc378942113 \h </w:instrText>
      </w:r>
      <w:r>
        <w:rPr>
          <w:noProof/>
        </w:rPr>
      </w:r>
      <w:r>
        <w:rPr>
          <w:noProof/>
        </w:rPr>
        <w:fldChar w:fldCharType="separate"/>
      </w:r>
      <w:r>
        <w:rPr>
          <w:noProof/>
        </w:rPr>
        <w:t>2</w:t>
      </w:r>
      <w:r>
        <w:rPr>
          <w:noProof/>
        </w:rPr>
        <w:fldChar w:fldCharType="end"/>
      </w:r>
    </w:p>
    <w:p w:rsidR="00045B88" w:rsidRDefault="00045B88">
      <w:pPr>
        <w:pStyle w:val="TOC1"/>
        <w:rPr>
          <w:rFonts w:asciiTheme="minorHAnsi" w:eastAsiaTheme="minorEastAsia" w:hAnsiTheme="minorHAnsi" w:cstheme="minorBidi"/>
          <w:noProof/>
          <w:sz w:val="22"/>
          <w:szCs w:val="22"/>
          <w:lang w:eastAsia="en-NZ"/>
        </w:rPr>
      </w:pPr>
      <w:r>
        <w:rPr>
          <w:noProof/>
        </w:rPr>
        <w:t>Risk Information Table</w:t>
      </w:r>
      <w:r>
        <w:rPr>
          <w:noProof/>
        </w:rPr>
        <w:tab/>
      </w:r>
      <w:r>
        <w:rPr>
          <w:noProof/>
        </w:rPr>
        <w:fldChar w:fldCharType="begin"/>
      </w:r>
      <w:r>
        <w:rPr>
          <w:noProof/>
        </w:rPr>
        <w:instrText xml:space="preserve"> PAGEREF _Toc378942114 \h </w:instrText>
      </w:r>
      <w:r>
        <w:rPr>
          <w:noProof/>
        </w:rPr>
      </w:r>
      <w:r>
        <w:rPr>
          <w:noProof/>
        </w:rPr>
        <w:fldChar w:fldCharType="separate"/>
      </w:r>
      <w:r>
        <w:rPr>
          <w:noProof/>
        </w:rPr>
        <w:t>3</w:t>
      </w:r>
      <w:r>
        <w:rPr>
          <w:noProof/>
        </w:rPr>
        <w:fldChar w:fldCharType="end"/>
      </w:r>
    </w:p>
    <w:p w:rsidR="00045B88" w:rsidRDefault="00045B88">
      <w:pPr>
        <w:pStyle w:val="TOC1"/>
        <w:rPr>
          <w:rFonts w:asciiTheme="minorHAnsi" w:eastAsiaTheme="minorEastAsia" w:hAnsiTheme="minorHAnsi" w:cstheme="minorBidi"/>
          <w:noProof/>
          <w:sz w:val="22"/>
          <w:szCs w:val="22"/>
          <w:lang w:eastAsia="en-NZ"/>
        </w:rPr>
      </w:pPr>
      <w:r>
        <w:rPr>
          <w:noProof/>
        </w:rPr>
        <w:t>Risk Assessment Table</w:t>
      </w:r>
      <w:r>
        <w:rPr>
          <w:noProof/>
        </w:rPr>
        <w:tab/>
      </w:r>
      <w:r>
        <w:rPr>
          <w:noProof/>
        </w:rPr>
        <w:fldChar w:fldCharType="begin"/>
      </w:r>
      <w:r>
        <w:rPr>
          <w:noProof/>
        </w:rPr>
        <w:instrText xml:space="preserve"> PAGEREF _Toc378942115 \h </w:instrText>
      </w:r>
      <w:r>
        <w:rPr>
          <w:noProof/>
        </w:rPr>
      </w:r>
      <w:r>
        <w:rPr>
          <w:noProof/>
        </w:rPr>
        <w:fldChar w:fldCharType="separate"/>
      </w:r>
      <w:r>
        <w:rPr>
          <w:noProof/>
        </w:rPr>
        <w:t>6</w:t>
      </w:r>
      <w:r>
        <w:rPr>
          <w:noProof/>
        </w:rPr>
        <w:fldChar w:fldCharType="end"/>
      </w:r>
    </w:p>
    <w:p w:rsidR="00045B88" w:rsidRDefault="00045B88">
      <w:pPr>
        <w:pStyle w:val="TOC1"/>
        <w:rPr>
          <w:rFonts w:asciiTheme="minorHAnsi" w:eastAsiaTheme="minorEastAsia" w:hAnsiTheme="minorHAnsi" w:cstheme="minorBidi"/>
          <w:noProof/>
          <w:sz w:val="22"/>
          <w:szCs w:val="22"/>
          <w:lang w:eastAsia="en-NZ"/>
        </w:rPr>
      </w:pPr>
      <w:r>
        <w:rPr>
          <w:noProof/>
        </w:rPr>
        <w:t>Contingency Plans</w:t>
      </w:r>
      <w:r>
        <w:rPr>
          <w:noProof/>
        </w:rPr>
        <w:tab/>
      </w:r>
      <w:r>
        <w:rPr>
          <w:noProof/>
        </w:rPr>
        <w:fldChar w:fldCharType="begin"/>
      </w:r>
      <w:r>
        <w:rPr>
          <w:noProof/>
        </w:rPr>
        <w:instrText xml:space="preserve"> PAGEREF _Toc378942116 \h </w:instrText>
      </w:r>
      <w:r>
        <w:rPr>
          <w:noProof/>
        </w:rPr>
      </w:r>
      <w:r>
        <w:rPr>
          <w:noProof/>
        </w:rPr>
        <w:fldChar w:fldCharType="separate"/>
      </w:r>
      <w:r>
        <w:rPr>
          <w:noProof/>
        </w:rPr>
        <w:t>8</w:t>
      </w:r>
      <w:r>
        <w:rPr>
          <w:noProof/>
        </w:rPr>
        <w:fldChar w:fldCharType="end"/>
      </w:r>
    </w:p>
    <w:p w:rsidR="00045B88" w:rsidRDefault="00045B88">
      <w:pPr>
        <w:pStyle w:val="TOC1"/>
        <w:rPr>
          <w:rFonts w:asciiTheme="minorHAnsi" w:eastAsiaTheme="minorEastAsia" w:hAnsiTheme="minorHAnsi" w:cstheme="minorBidi"/>
          <w:noProof/>
          <w:sz w:val="22"/>
          <w:szCs w:val="22"/>
          <w:lang w:eastAsia="en-NZ"/>
        </w:rPr>
      </w:pPr>
      <w:r>
        <w:rPr>
          <w:noProof/>
        </w:rPr>
        <w:t>Water Safety Plan Performance Assessment</w:t>
      </w:r>
      <w:r>
        <w:rPr>
          <w:noProof/>
        </w:rPr>
        <w:tab/>
      </w:r>
      <w:r>
        <w:rPr>
          <w:noProof/>
        </w:rPr>
        <w:fldChar w:fldCharType="begin"/>
      </w:r>
      <w:r>
        <w:rPr>
          <w:noProof/>
        </w:rPr>
        <w:instrText xml:space="preserve"> PAGEREF _Toc378942117 \h </w:instrText>
      </w:r>
      <w:r>
        <w:rPr>
          <w:noProof/>
        </w:rPr>
      </w:r>
      <w:r>
        <w:rPr>
          <w:noProof/>
        </w:rPr>
        <w:fldChar w:fldCharType="separate"/>
      </w:r>
      <w:r>
        <w:rPr>
          <w:noProof/>
        </w:rPr>
        <w:t>9</w:t>
      </w:r>
      <w:r>
        <w:rPr>
          <w:noProof/>
        </w:rPr>
        <w:fldChar w:fldCharType="end"/>
      </w:r>
    </w:p>
    <w:p w:rsidR="00B54201" w:rsidRDefault="00045B88">
      <w:r>
        <w:fldChar w:fldCharType="end"/>
      </w:r>
    </w:p>
    <w:p w:rsidR="00B54201" w:rsidRDefault="00B54201"/>
    <w:p w:rsidR="00B54201" w:rsidRDefault="00B54201">
      <w:pPr>
        <w:sectPr w:rsidR="00B54201">
          <w:footerReference w:type="even" r:id="rId12"/>
          <w:footerReference w:type="default" r:id="rId13"/>
          <w:pgSz w:w="11907" w:h="16840" w:code="9"/>
          <w:pgMar w:top="1474" w:right="1361" w:bottom="2041" w:left="2438" w:header="0" w:footer="454" w:gutter="0"/>
          <w:pgNumType w:fmt="lowerRoman"/>
          <w:cols w:space="720"/>
        </w:sectPr>
      </w:pPr>
    </w:p>
    <w:p w:rsidR="00B54201" w:rsidRDefault="00B54201"/>
    <w:p w:rsidR="00B54201" w:rsidRDefault="00B54201"/>
    <w:p w:rsidR="00B54201" w:rsidRDefault="00B54201">
      <w:pPr>
        <w:sectPr w:rsidR="00B54201">
          <w:footerReference w:type="even" r:id="rId14"/>
          <w:pgSz w:w="11907" w:h="16840" w:code="9"/>
          <w:pgMar w:top="1474" w:right="1361" w:bottom="2041" w:left="2438" w:header="0" w:footer="454" w:gutter="0"/>
          <w:pgNumType w:fmt="lowerRoman"/>
          <w:cols w:space="720"/>
        </w:sectPr>
      </w:pPr>
    </w:p>
    <w:p w:rsidR="00B54201" w:rsidRDefault="00045B88">
      <w:pPr>
        <w:pStyle w:val="Heading1"/>
      </w:pPr>
      <w:bookmarkStart w:id="2" w:name="_Toc378942112"/>
      <w:r>
        <w:t>Introduction</w:t>
      </w:r>
      <w:bookmarkEnd w:id="2"/>
    </w:p>
    <w:p w:rsidR="00B54201" w:rsidRDefault="00045B88">
      <w:r>
        <w:t xml:space="preserve">Backflow-prevention devices are used to stop substances that may cause sickness being drawn back into the drinking-water supply.  Backflows into the main create a public health risk to the quality of water through the entire water supply.  Their prevention is the responsibility of the drinking-water supplier.  Backflows within a building create a risk to the health of the occupants and, under the Building Act 1991, are the responsibility of the building owner.  This </w:t>
      </w:r>
      <w:r>
        <w:rPr>
          <w:i/>
        </w:rPr>
        <w:t>Guide</w:t>
      </w:r>
      <w:r>
        <w:t xml:space="preserve"> is concerned with the prevention of backflow into the main.</w:t>
      </w:r>
    </w:p>
    <w:p w:rsidR="00B54201" w:rsidRDefault="00B54201"/>
    <w:p w:rsidR="00B54201" w:rsidRDefault="00045B88">
      <w:r>
        <w:t>If an event occurs that may lead to backflow, the following could happen:</w:t>
      </w:r>
    </w:p>
    <w:p w:rsidR="00B54201" w:rsidRDefault="00045B88">
      <w:pPr>
        <w:pStyle w:val="Bullet"/>
      </w:pPr>
      <w:r>
        <w:t>If the pressure in the distribution system drops below the pressure in the supplied premises, sickness can come from germs or chemicals drawn back into the water supply from the premises.</w:t>
      </w:r>
    </w:p>
    <w:p w:rsidR="00B54201" w:rsidRDefault="00045B88">
      <w:pPr>
        <w:pStyle w:val="Bullet"/>
      </w:pPr>
      <w:r>
        <w:t>If a correctly operating backflow prevention device is not installed, and the pressure in the distribution system is less than that in a premises, sickness can come from germs or chemicals carried into the water supply by backflow.</w:t>
      </w:r>
    </w:p>
    <w:p w:rsidR="00B54201" w:rsidRDefault="00B54201"/>
    <w:p w:rsidR="00B54201" w:rsidRDefault="00045B88">
      <w:r>
        <w:t>There may be risks to the health of staff who install backflow prevention devices.  These are acknowledged but are not discussed further, as such risks are the subject of health and safety in employment legislation.</w:t>
      </w:r>
    </w:p>
    <w:p w:rsidR="00B54201" w:rsidRDefault="00B54201"/>
    <w:p w:rsidR="00B54201" w:rsidRDefault="00045B88">
      <w:r>
        <w:t xml:space="preserve">This </w:t>
      </w:r>
      <w:r>
        <w:rPr>
          <w:i/>
        </w:rPr>
        <w:t>Guide</w:t>
      </w:r>
      <w:r>
        <w:t xml:space="preserve"> deals specifically with backflow prevention and the risks associated with it, but backflow is also noted in two other </w:t>
      </w:r>
      <w:r>
        <w:rPr>
          <w:i/>
        </w:rPr>
        <w:t>Guides</w:t>
      </w:r>
      <w:r>
        <w:t>:</w:t>
      </w:r>
    </w:p>
    <w:p w:rsidR="00B54201" w:rsidRDefault="00045B88">
      <w:pPr>
        <w:pStyle w:val="Bullet"/>
        <w:rPr>
          <w:i/>
        </w:rPr>
      </w:pPr>
      <w:r>
        <w:rPr>
          <w:i/>
        </w:rPr>
        <w:t>System Pressure (Guide D2.2)</w:t>
      </w:r>
    </w:p>
    <w:p w:rsidR="00B54201" w:rsidRDefault="00045B88">
      <w:pPr>
        <w:pStyle w:val="Bullet"/>
      </w:pPr>
      <w:r>
        <w:rPr>
          <w:i/>
        </w:rPr>
        <w:t>Operation (Guide D2.3)</w:t>
      </w:r>
      <w:r>
        <w:t>.</w:t>
      </w:r>
    </w:p>
    <w:p w:rsidR="00B54201" w:rsidRDefault="00B54201"/>
    <w:p w:rsidR="00B54201" w:rsidRDefault="00045B88">
      <w:pPr>
        <w:pStyle w:val="Heading1"/>
      </w:pPr>
      <w:r>
        <w:rPr>
          <w:caps/>
        </w:rPr>
        <w:br w:type="page"/>
      </w:r>
      <w:bookmarkStart w:id="3" w:name="_Toc378942113"/>
      <w:r>
        <w:t>Risk Summary</w:t>
      </w:r>
      <w:bookmarkEnd w:id="3"/>
    </w:p>
    <w:p w:rsidR="00B54201" w:rsidRDefault="00045B88">
      <w:r>
        <w:t>The event creating the greatest risk of backflow is not having properly operating backflow prevention devices installed at the boundaries of premises where contaminants could be drawn back into the mains (see D2.4.3).</w:t>
      </w:r>
    </w:p>
    <w:p w:rsidR="00B54201" w:rsidRDefault="00B54201"/>
    <w:p w:rsidR="00B54201" w:rsidRDefault="00045B88">
      <w:r>
        <w:t>The most important preventive measures are to:</w:t>
      </w:r>
    </w:p>
    <w:p w:rsidR="00B54201" w:rsidRDefault="00045B88">
      <w:pPr>
        <w:pStyle w:val="Bullet"/>
      </w:pPr>
      <w:r>
        <w:t>make sure correctly operating backflow prevention devices are installed at premises where contaminants could be drawn back into the mains (see D2.4.3)</w:t>
      </w:r>
    </w:p>
    <w:p w:rsidR="00B54201" w:rsidRDefault="00045B88">
      <w:pPr>
        <w:pStyle w:val="Bullet"/>
      </w:pPr>
      <w:r>
        <w:t>make sure all backflow prevention devices are regularly inspected and tested (see D2.4.3).</w:t>
      </w:r>
    </w:p>
    <w:p w:rsidR="00B54201" w:rsidRDefault="00B54201"/>
    <w:p w:rsidR="00B54201" w:rsidRDefault="00045B88">
      <w:r>
        <w:t>(References in parentheses are to the Risk Information Table.)</w:t>
      </w:r>
    </w:p>
    <w:p w:rsidR="00B54201" w:rsidRDefault="00B54201"/>
    <w:p w:rsidR="00B54201" w:rsidRDefault="00045B88">
      <w:pPr>
        <w:pStyle w:val="Heading1"/>
      </w:pPr>
      <w:r>
        <w:br w:type="page"/>
      </w:r>
      <w:bookmarkStart w:id="4" w:name="_Toc378942114"/>
      <w:r>
        <w:t>Risk Information Table</w:t>
      </w:r>
      <w:bookmarkStart w:id="5" w:name="_GoBack"/>
      <w:bookmarkEnd w:id="4"/>
      <w:bookmarkEnd w:id="5"/>
    </w:p>
    <w:p w:rsidR="00B54201" w:rsidRDefault="00045B88">
      <w:r>
        <w:t>Reliable information about water quality is essential for the proper management of a water supply.  Knowledgeable and skilled staff are also essential for minimising the public health risks associated with water supplies.  Please read the staff training (</w:t>
      </w:r>
      <w:r>
        <w:rPr>
          <w:i/>
        </w:rPr>
        <w:t>Guide G1</w:t>
      </w:r>
      <w:r>
        <w:t>) and the monitoring guides (</w:t>
      </w:r>
      <w:r>
        <w:rPr>
          <w:i/>
        </w:rPr>
        <w:t>Guide G2</w:t>
      </w:r>
      <w:r>
        <w:t>).  While we haven’t pointed out every detail of how these documents are linked with the present document, the links are many and are important.</w:t>
      </w:r>
    </w:p>
    <w:p w:rsidR="00B54201" w:rsidRDefault="00B54201"/>
    <w:p w:rsidR="00B54201" w:rsidRDefault="00045B88">
      <w:pPr>
        <w:pStyle w:val="Note"/>
        <w:spacing w:after="120"/>
      </w:pPr>
      <w:r>
        <w:t xml:space="preserve">Abbreviations: MAV – Maximum acceptable value – see </w:t>
      </w:r>
      <w:r>
        <w:rPr>
          <w:i/>
        </w:rPr>
        <w:t>Drinking-Water Standards for New Zealand:2000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7"/>
        <w:gridCol w:w="1984"/>
        <w:gridCol w:w="1560"/>
        <w:gridCol w:w="1559"/>
        <w:gridCol w:w="1560"/>
      </w:tblGrid>
      <w:tr w:rsidR="00B54201">
        <w:trPr>
          <w:cantSplit/>
          <w:tblHeader/>
        </w:trPr>
        <w:tc>
          <w:tcPr>
            <w:tcW w:w="1417" w:type="dxa"/>
            <w:vMerge w:val="restart"/>
          </w:tcPr>
          <w:p w:rsidR="00B54201" w:rsidRDefault="00045B88">
            <w:pPr>
              <w:pStyle w:val="TableText"/>
              <w:jc w:val="center"/>
              <w:rPr>
                <w:b/>
              </w:rPr>
            </w:pPr>
            <w:r>
              <w:rPr>
                <w:b/>
              </w:rPr>
              <w:br w:type="page"/>
              <w:t>Causes</w:t>
            </w:r>
          </w:p>
        </w:tc>
        <w:tc>
          <w:tcPr>
            <w:tcW w:w="1984" w:type="dxa"/>
            <w:vMerge w:val="restart"/>
          </w:tcPr>
          <w:p w:rsidR="00B54201" w:rsidRDefault="00045B88">
            <w:pPr>
              <w:pStyle w:val="TableText"/>
              <w:jc w:val="center"/>
              <w:rPr>
                <w:b/>
              </w:rPr>
            </w:pPr>
            <w:r>
              <w:rPr>
                <w:b/>
              </w:rPr>
              <w:t>Preventive measures</w:t>
            </w:r>
          </w:p>
        </w:tc>
        <w:tc>
          <w:tcPr>
            <w:tcW w:w="3119" w:type="dxa"/>
            <w:gridSpan w:val="2"/>
          </w:tcPr>
          <w:p w:rsidR="00B54201" w:rsidRDefault="00045B88">
            <w:pPr>
              <w:pStyle w:val="TableText"/>
              <w:jc w:val="center"/>
              <w:rPr>
                <w:b/>
              </w:rPr>
            </w:pPr>
            <w:r>
              <w:rPr>
                <w:b/>
              </w:rPr>
              <w:t>Checking preventive measures</w:t>
            </w:r>
          </w:p>
        </w:tc>
        <w:tc>
          <w:tcPr>
            <w:tcW w:w="1559" w:type="dxa"/>
            <w:vMerge w:val="restart"/>
          </w:tcPr>
          <w:p w:rsidR="00B54201" w:rsidRDefault="00045B88">
            <w:pPr>
              <w:pStyle w:val="TableText"/>
              <w:jc w:val="center"/>
              <w:rPr>
                <w:b/>
              </w:rPr>
            </w:pPr>
            <w:r>
              <w:rPr>
                <w:b/>
              </w:rPr>
              <w:t>Corrective action</w:t>
            </w:r>
          </w:p>
        </w:tc>
      </w:tr>
      <w:tr w:rsidR="00B54201">
        <w:trPr>
          <w:cantSplit/>
          <w:tblHeader/>
        </w:trPr>
        <w:tc>
          <w:tcPr>
            <w:tcW w:w="1417" w:type="dxa"/>
            <w:vMerge/>
          </w:tcPr>
          <w:p w:rsidR="00B54201" w:rsidRDefault="00B54201">
            <w:pPr>
              <w:pStyle w:val="TableText"/>
              <w:jc w:val="center"/>
              <w:rPr>
                <w:b/>
              </w:rPr>
            </w:pPr>
          </w:p>
        </w:tc>
        <w:tc>
          <w:tcPr>
            <w:tcW w:w="1984" w:type="dxa"/>
            <w:vMerge/>
          </w:tcPr>
          <w:p w:rsidR="00B54201" w:rsidRDefault="00B54201">
            <w:pPr>
              <w:pStyle w:val="TableText"/>
              <w:jc w:val="center"/>
              <w:rPr>
                <w:b/>
              </w:rPr>
            </w:pPr>
          </w:p>
        </w:tc>
        <w:tc>
          <w:tcPr>
            <w:tcW w:w="1560" w:type="dxa"/>
          </w:tcPr>
          <w:p w:rsidR="00B54201" w:rsidRDefault="00045B88">
            <w:pPr>
              <w:pStyle w:val="TableText"/>
              <w:jc w:val="center"/>
              <w:rPr>
                <w:b/>
              </w:rPr>
            </w:pPr>
            <w:r>
              <w:rPr>
                <w:b/>
              </w:rPr>
              <w:t>What to check</w:t>
            </w:r>
          </w:p>
        </w:tc>
        <w:tc>
          <w:tcPr>
            <w:tcW w:w="1559" w:type="dxa"/>
          </w:tcPr>
          <w:p w:rsidR="00B54201" w:rsidRDefault="00045B88">
            <w:pPr>
              <w:pStyle w:val="TableText"/>
              <w:jc w:val="center"/>
              <w:rPr>
                <w:b/>
              </w:rPr>
            </w:pPr>
            <w:r>
              <w:rPr>
                <w:b/>
              </w:rPr>
              <w:t>Signs that action is needed</w:t>
            </w:r>
          </w:p>
        </w:tc>
        <w:tc>
          <w:tcPr>
            <w:tcW w:w="1559" w:type="dxa"/>
            <w:vMerge/>
          </w:tcPr>
          <w:p w:rsidR="00B54201" w:rsidRDefault="00B54201">
            <w:pPr>
              <w:pStyle w:val="TableText"/>
              <w:jc w:val="center"/>
              <w:rPr>
                <w:b/>
              </w:rPr>
            </w:pPr>
          </w:p>
        </w:tc>
      </w:tr>
      <w:tr w:rsidR="00B54201">
        <w:trPr>
          <w:cantSplit/>
        </w:trPr>
        <w:tc>
          <w:tcPr>
            <w:tcW w:w="8080" w:type="dxa"/>
            <w:gridSpan w:val="5"/>
          </w:tcPr>
          <w:p w:rsidR="00B54201" w:rsidRDefault="00045B88">
            <w:pPr>
              <w:pStyle w:val="TableText"/>
            </w:pPr>
            <w:r>
              <w:t xml:space="preserve">Event:  </w:t>
            </w:r>
            <w:r>
              <w:rPr>
                <w:b/>
              </w:rPr>
              <w:t>WATER PRESSURE IN THE DISTRIBUTION SYSTEM LOWER THAN PRESSURE IN SUPPLIED PREMISES</w:t>
            </w:r>
            <w:r>
              <w:br/>
              <w:t xml:space="preserve">Possible hazards:  </w:t>
            </w:r>
            <w:r>
              <w:rPr>
                <w:i/>
              </w:rPr>
              <w:t>Germs; chemical determinands</w:t>
            </w:r>
            <w:r>
              <w:t>.</w:t>
            </w:r>
            <w:r>
              <w:br/>
              <w:t xml:space="preserve">Level of risk:  </w:t>
            </w:r>
            <w:r>
              <w:rPr>
                <w:b/>
              </w:rPr>
              <w:t>High</w:t>
            </w:r>
          </w:p>
        </w:tc>
      </w:tr>
      <w:tr w:rsidR="00B54201">
        <w:trPr>
          <w:cantSplit/>
        </w:trPr>
        <w:tc>
          <w:tcPr>
            <w:tcW w:w="1417" w:type="dxa"/>
          </w:tcPr>
          <w:p w:rsidR="00B54201" w:rsidRDefault="00045B88">
            <w:pPr>
              <w:pStyle w:val="TableText"/>
              <w:rPr>
                <w:b/>
              </w:rPr>
            </w:pPr>
            <w:r>
              <w:rPr>
                <w:b/>
              </w:rPr>
              <w:t>D2.4.1.1</w:t>
            </w:r>
          </w:p>
          <w:p w:rsidR="00B54201" w:rsidRDefault="00045B88">
            <w:pPr>
              <w:pStyle w:val="TableText"/>
              <w:spacing w:before="0"/>
            </w:pPr>
            <w:r>
              <w:t>A pressure drop in the reticulated system.</w:t>
            </w:r>
          </w:p>
        </w:tc>
        <w:tc>
          <w:tcPr>
            <w:tcW w:w="1984" w:type="dxa"/>
          </w:tcPr>
          <w:p w:rsidR="00B54201" w:rsidRDefault="00045B88">
            <w:pPr>
              <w:pStyle w:val="TableBullet"/>
            </w:pPr>
            <w:r>
              <w:t>Installation of one of the following backflow prevention devices depending on the level of risk to the supply:</w:t>
            </w:r>
            <w:r>
              <w:rPr>
                <w:vertAlign w:val="superscript"/>
              </w:rPr>
              <w:t>1</w:t>
            </w:r>
          </w:p>
          <w:p w:rsidR="00B54201" w:rsidRDefault="00045B88">
            <w:pPr>
              <w:pStyle w:val="TableDash"/>
              <w:ind w:left="454" w:hanging="170"/>
            </w:pPr>
            <w:r>
              <w:t>reduced pressure backflow prevention device</w:t>
            </w:r>
          </w:p>
          <w:p w:rsidR="00B54201" w:rsidRDefault="00045B88">
            <w:pPr>
              <w:pStyle w:val="TableDash"/>
              <w:ind w:left="454" w:hanging="170"/>
            </w:pPr>
            <w:r>
              <w:t>non-testable double check valve</w:t>
            </w:r>
          </w:p>
          <w:p w:rsidR="00B54201" w:rsidRDefault="00045B88">
            <w:pPr>
              <w:pStyle w:val="TableDash"/>
              <w:ind w:left="454" w:hanging="170"/>
            </w:pPr>
            <w:r>
              <w:t>testable double check valve</w:t>
            </w:r>
          </w:p>
          <w:p w:rsidR="00B54201" w:rsidRDefault="00045B88">
            <w:pPr>
              <w:pStyle w:val="TableDash"/>
              <w:ind w:left="454" w:hanging="170"/>
            </w:pPr>
            <w:r>
              <w:t>air gap.</w:t>
            </w:r>
          </w:p>
          <w:p w:rsidR="00B54201" w:rsidRDefault="00045B88">
            <w:pPr>
              <w:pStyle w:val="TableBullet"/>
              <w:spacing w:after="80"/>
            </w:pPr>
            <w:r>
              <w:t>Annual inspection and testing of backflow prevention devices.</w:t>
            </w:r>
          </w:p>
        </w:tc>
        <w:tc>
          <w:tcPr>
            <w:tcW w:w="1560" w:type="dxa"/>
          </w:tcPr>
          <w:p w:rsidR="00B54201" w:rsidRDefault="00045B88">
            <w:pPr>
              <w:pStyle w:val="TableBullet"/>
            </w:pPr>
            <w:r>
              <w:t>Testing and inspection records.</w:t>
            </w:r>
          </w:p>
          <w:p w:rsidR="00B54201" w:rsidRDefault="00045B88">
            <w:pPr>
              <w:pStyle w:val="TableBullet"/>
            </w:pPr>
            <w:r>
              <w:t>Microbiological quality.</w:t>
            </w:r>
          </w:p>
          <w:p w:rsidR="00B54201" w:rsidRDefault="00045B88">
            <w:pPr>
              <w:pStyle w:val="TableBullet"/>
            </w:pPr>
            <w:r>
              <w:t>Chemical determinands (when there is reason to suspect contamination).</w:t>
            </w:r>
          </w:p>
        </w:tc>
        <w:tc>
          <w:tcPr>
            <w:tcW w:w="1559" w:type="dxa"/>
          </w:tcPr>
          <w:p w:rsidR="00B54201" w:rsidRDefault="00045B88">
            <w:pPr>
              <w:pStyle w:val="TableBullet"/>
            </w:pPr>
            <w:r>
              <w:t>Reports by consumers of gross contamination of tapwater.</w:t>
            </w:r>
          </w:p>
          <w:p w:rsidR="00B54201" w:rsidRDefault="00045B88">
            <w:pPr>
              <w:pStyle w:val="TableBullet"/>
            </w:pPr>
            <w:r>
              <w:t>Unexplained fluctuations in chemical and microbiological water quality.</w:t>
            </w:r>
          </w:p>
          <w:p w:rsidR="00B54201" w:rsidRDefault="00045B88">
            <w:pPr>
              <w:pStyle w:val="TableBullet"/>
            </w:pPr>
            <w:r>
              <w:rPr>
                <w:i/>
              </w:rPr>
              <w:t>E. coli</w:t>
            </w:r>
            <w:r>
              <w:t xml:space="preserve"> or coliforms detected in 100 mL water sample.</w:t>
            </w:r>
          </w:p>
          <w:p w:rsidR="00B54201" w:rsidRDefault="00045B88">
            <w:pPr>
              <w:pStyle w:val="TableBullet"/>
              <w:spacing w:after="80"/>
            </w:pPr>
            <w:r>
              <w:t>Concentrations of targeted chemical determinands are more than 50% of their MAV.</w:t>
            </w:r>
          </w:p>
        </w:tc>
        <w:tc>
          <w:tcPr>
            <w:tcW w:w="1559" w:type="dxa"/>
            <w:tcBorders>
              <w:bottom w:val="single" w:sz="4" w:space="0" w:color="auto"/>
            </w:tcBorders>
          </w:tcPr>
          <w:p w:rsidR="00B54201" w:rsidRDefault="00045B88">
            <w:pPr>
              <w:pStyle w:val="TableBullet"/>
            </w:pPr>
            <w:r>
              <w:t>Determine reasons for low system pressure and rectify if possible.</w:t>
            </w:r>
          </w:p>
          <w:p w:rsidR="00B54201" w:rsidRDefault="00045B88">
            <w:pPr>
              <w:pStyle w:val="TableBullet"/>
            </w:pPr>
            <w:r>
              <w:t xml:space="preserve">Identify the premises from which backflow occurred and install appropriate device </w:t>
            </w:r>
            <w:r>
              <w:rPr>
                <w:i/>
              </w:rPr>
              <w:t>(see D2.4.2).</w:t>
            </w:r>
          </w:p>
        </w:tc>
      </w:tr>
      <w:tr w:rsidR="00B54201">
        <w:trPr>
          <w:cantSplit/>
        </w:trPr>
        <w:tc>
          <w:tcPr>
            <w:tcW w:w="1417" w:type="dxa"/>
          </w:tcPr>
          <w:p w:rsidR="00B54201" w:rsidRDefault="00045B88">
            <w:pPr>
              <w:pStyle w:val="TableText"/>
              <w:rPr>
                <w:b/>
              </w:rPr>
            </w:pPr>
            <w:r>
              <w:rPr>
                <w:b/>
              </w:rPr>
              <w:t>D2.4.1.2</w:t>
            </w:r>
          </w:p>
          <w:p w:rsidR="00B54201" w:rsidRDefault="00045B88">
            <w:pPr>
              <w:pStyle w:val="TableText"/>
              <w:spacing w:before="0"/>
            </w:pPr>
            <w:r>
              <w:t>An elevated pressure in the premise(s) supplied as compared to the reticulated system.</w:t>
            </w:r>
          </w:p>
        </w:tc>
        <w:tc>
          <w:tcPr>
            <w:tcW w:w="1984" w:type="dxa"/>
          </w:tcPr>
          <w:p w:rsidR="00B54201" w:rsidRDefault="00045B88">
            <w:pPr>
              <w:pStyle w:val="TableText"/>
              <w:jc w:val="center"/>
              <w:rPr>
                <w:i/>
              </w:rPr>
            </w:pPr>
            <w:r>
              <w:rPr>
                <w:i/>
              </w:rPr>
              <w:t>See D2.4.1.1.</w:t>
            </w:r>
          </w:p>
        </w:tc>
        <w:tc>
          <w:tcPr>
            <w:tcW w:w="3119" w:type="dxa"/>
            <w:gridSpan w:val="2"/>
          </w:tcPr>
          <w:p w:rsidR="00B54201" w:rsidRDefault="00045B88">
            <w:pPr>
              <w:pStyle w:val="TableText"/>
              <w:jc w:val="center"/>
              <w:rPr>
                <w:i/>
              </w:rPr>
            </w:pPr>
            <w:r>
              <w:rPr>
                <w:i/>
              </w:rPr>
              <w:t>See D2.4.1.1.</w:t>
            </w:r>
          </w:p>
        </w:tc>
        <w:tc>
          <w:tcPr>
            <w:tcW w:w="1559" w:type="dxa"/>
          </w:tcPr>
          <w:p w:rsidR="00B54201" w:rsidRDefault="00045B88">
            <w:pPr>
              <w:pStyle w:val="TableBullet"/>
            </w:pPr>
            <w:r>
              <w:t>Identify the premises from which backflow occurred and install appropriate device.</w:t>
            </w:r>
          </w:p>
        </w:tc>
      </w:tr>
    </w:tbl>
    <w:p w:rsidR="00B54201" w:rsidRDefault="00045B88">
      <w:pPr>
        <w:pStyle w:val="Note"/>
      </w:pPr>
      <w:r>
        <w:t>1</w:t>
      </w:r>
      <w:r>
        <w:tab/>
        <w:t>See Risk Assessment Table.</w:t>
      </w:r>
    </w:p>
    <w:p w:rsidR="00B54201" w:rsidRDefault="00B54201"/>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7"/>
        <w:gridCol w:w="1984"/>
        <w:gridCol w:w="1418"/>
        <w:gridCol w:w="142"/>
        <w:gridCol w:w="1559"/>
        <w:gridCol w:w="1560"/>
      </w:tblGrid>
      <w:tr w:rsidR="00B54201">
        <w:trPr>
          <w:cantSplit/>
          <w:tblHeader/>
        </w:trPr>
        <w:tc>
          <w:tcPr>
            <w:tcW w:w="1417" w:type="dxa"/>
            <w:vMerge w:val="restart"/>
          </w:tcPr>
          <w:p w:rsidR="00B54201" w:rsidRDefault="00045B88">
            <w:pPr>
              <w:pStyle w:val="TableText"/>
              <w:keepNext/>
              <w:jc w:val="center"/>
              <w:rPr>
                <w:b/>
              </w:rPr>
            </w:pPr>
            <w:r>
              <w:rPr>
                <w:b/>
              </w:rPr>
              <w:br w:type="page"/>
              <w:t>Causes</w:t>
            </w:r>
          </w:p>
        </w:tc>
        <w:tc>
          <w:tcPr>
            <w:tcW w:w="1984" w:type="dxa"/>
            <w:vMerge w:val="restart"/>
          </w:tcPr>
          <w:p w:rsidR="00B54201" w:rsidRDefault="00045B88">
            <w:pPr>
              <w:pStyle w:val="TableText"/>
              <w:keepNext/>
              <w:jc w:val="center"/>
              <w:rPr>
                <w:b/>
              </w:rPr>
            </w:pPr>
            <w:r>
              <w:rPr>
                <w:b/>
              </w:rPr>
              <w:t>Preventive measures</w:t>
            </w:r>
          </w:p>
        </w:tc>
        <w:tc>
          <w:tcPr>
            <w:tcW w:w="3119" w:type="dxa"/>
            <w:gridSpan w:val="3"/>
          </w:tcPr>
          <w:p w:rsidR="00B54201" w:rsidRDefault="00045B88">
            <w:pPr>
              <w:pStyle w:val="TableText"/>
              <w:keepNext/>
              <w:jc w:val="center"/>
              <w:rPr>
                <w:b/>
              </w:rPr>
            </w:pPr>
            <w:r>
              <w:rPr>
                <w:b/>
              </w:rPr>
              <w:t>Checking preventive measures</w:t>
            </w:r>
          </w:p>
        </w:tc>
        <w:tc>
          <w:tcPr>
            <w:tcW w:w="1559" w:type="dxa"/>
            <w:vMerge w:val="restart"/>
          </w:tcPr>
          <w:p w:rsidR="00B54201" w:rsidRDefault="00045B88">
            <w:pPr>
              <w:pStyle w:val="TableText"/>
              <w:keepNext/>
              <w:jc w:val="center"/>
              <w:rPr>
                <w:b/>
              </w:rPr>
            </w:pPr>
            <w:r>
              <w:rPr>
                <w:b/>
              </w:rPr>
              <w:t>Corrective action</w:t>
            </w:r>
          </w:p>
        </w:tc>
      </w:tr>
      <w:tr w:rsidR="00B54201">
        <w:trPr>
          <w:cantSplit/>
          <w:tblHeader/>
        </w:trPr>
        <w:tc>
          <w:tcPr>
            <w:tcW w:w="1417" w:type="dxa"/>
            <w:vMerge/>
          </w:tcPr>
          <w:p w:rsidR="00B54201" w:rsidRDefault="00B54201">
            <w:pPr>
              <w:pStyle w:val="TableText"/>
              <w:keepNext/>
              <w:jc w:val="center"/>
              <w:rPr>
                <w:b/>
              </w:rPr>
            </w:pPr>
          </w:p>
        </w:tc>
        <w:tc>
          <w:tcPr>
            <w:tcW w:w="1984" w:type="dxa"/>
            <w:vMerge/>
          </w:tcPr>
          <w:p w:rsidR="00B54201" w:rsidRDefault="00B54201">
            <w:pPr>
              <w:pStyle w:val="TableText"/>
              <w:keepNext/>
              <w:jc w:val="center"/>
              <w:rPr>
                <w:b/>
              </w:rPr>
            </w:pPr>
          </w:p>
        </w:tc>
        <w:tc>
          <w:tcPr>
            <w:tcW w:w="1560" w:type="dxa"/>
            <w:gridSpan w:val="2"/>
          </w:tcPr>
          <w:p w:rsidR="00B54201" w:rsidRDefault="00045B88">
            <w:pPr>
              <w:pStyle w:val="TableText"/>
              <w:keepNext/>
              <w:jc w:val="center"/>
              <w:rPr>
                <w:b/>
              </w:rPr>
            </w:pPr>
            <w:r>
              <w:rPr>
                <w:b/>
              </w:rPr>
              <w:t>What to check</w:t>
            </w:r>
          </w:p>
        </w:tc>
        <w:tc>
          <w:tcPr>
            <w:tcW w:w="1559" w:type="dxa"/>
          </w:tcPr>
          <w:p w:rsidR="00B54201" w:rsidRDefault="00045B88">
            <w:pPr>
              <w:pStyle w:val="TableText"/>
              <w:keepNext/>
              <w:jc w:val="center"/>
              <w:rPr>
                <w:b/>
              </w:rPr>
            </w:pPr>
            <w:r>
              <w:rPr>
                <w:b/>
              </w:rPr>
              <w:t>Signs that action is needed</w:t>
            </w:r>
          </w:p>
        </w:tc>
        <w:tc>
          <w:tcPr>
            <w:tcW w:w="1559" w:type="dxa"/>
            <w:vMerge/>
          </w:tcPr>
          <w:p w:rsidR="00B54201" w:rsidRDefault="00B54201">
            <w:pPr>
              <w:pStyle w:val="TableText"/>
              <w:keepNext/>
              <w:jc w:val="center"/>
              <w:rPr>
                <w:b/>
              </w:rPr>
            </w:pPr>
          </w:p>
        </w:tc>
      </w:tr>
      <w:tr w:rsidR="00B54201">
        <w:trPr>
          <w:cantSplit/>
        </w:trPr>
        <w:tc>
          <w:tcPr>
            <w:tcW w:w="8080" w:type="dxa"/>
            <w:gridSpan w:val="6"/>
          </w:tcPr>
          <w:p w:rsidR="00B54201" w:rsidRDefault="00045B88">
            <w:pPr>
              <w:pStyle w:val="TableText"/>
              <w:keepNext/>
            </w:pPr>
            <w:r>
              <w:t xml:space="preserve">Event:  </w:t>
            </w:r>
            <w:r>
              <w:rPr>
                <w:b/>
              </w:rPr>
              <w:t>NO, INADEQUATE, FAULTY, OR INCORRECTLY INSTALLED BACKFLOW PREVENTION DEVICE</w:t>
            </w:r>
            <w:r>
              <w:br/>
              <w:t xml:space="preserve">Possible hazards:  </w:t>
            </w:r>
            <w:r>
              <w:rPr>
                <w:i/>
              </w:rPr>
              <w:t>Germs; chemical determinands</w:t>
            </w:r>
            <w:r>
              <w:t>.</w:t>
            </w:r>
            <w:r>
              <w:br/>
              <w:t xml:space="preserve">Level of risk:  </w:t>
            </w:r>
            <w:r>
              <w:rPr>
                <w:b/>
              </w:rPr>
              <w:t>High</w:t>
            </w:r>
          </w:p>
        </w:tc>
      </w:tr>
      <w:tr w:rsidR="00B54201">
        <w:trPr>
          <w:cantSplit/>
        </w:trPr>
        <w:tc>
          <w:tcPr>
            <w:tcW w:w="1417" w:type="dxa"/>
          </w:tcPr>
          <w:p w:rsidR="00B54201" w:rsidRDefault="00045B88">
            <w:pPr>
              <w:pStyle w:val="TableText"/>
              <w:rPr>
                <w:b/>
              </w:rPr>
            </w:pPr>
            <w:r>
              <w:rPr>
                <w:b/>
              </w:rPr>
              <w:t>D2.4.2.1</w:t>
            </w:r>
          </w:p>
          <w:p w:rsidR="00B54201" w:rsidRDefault="00045B88">
            <w:pPr>
              <w:pStyle w:val="TableText"/>
              <w:spacing w:before="0"/>
            </w:pPr>
            <w:r>
              <w:t>The backflow prevention device not actually connected, or connected improperly.</w:t>
            </w:r>
          </w:p>
        </w:tc>
        <w:tc>
          <w:tcPr>
            <w:tcW w:w="1984" w:type="dxa"/>
          </w:tcPr>
          <w:p w:rsidR="00B54201" w:rsidRDefault="00045B88">
            <w:pPr>
              <w:pStyle w:val="TableText"/>
              <w:jc w:val="center"/>
              <w:rPr>
                <w:i/>
              </w:rPr>
            </w:pPr>
            <w:r>
              <w:rPr>
                <w:i/>
              </w:rPr>
              <w:t>See D2.4.1.1.</w:t>
            </w:r>
          </w:p>
        </w:tc>
        <w:tc>
          <w:tcPr>
            <w:tcW w:w="3119" w:type="dxa"/>
            <w:gridSpan w:val="3"/>
          </w:tcPr>
          <w:p w:rsidR="00B54201" w:rsidRDefault="00045B88">
            <w:pPr>
              <w:pStyle w:val="TableText"/>
              <w:jc w:val="center"/>
              <w:rPr>
                <w:i/>
              </w:rPr>
            </w:pPr>
            <w:r>
              <w:rPr>
                <w:i/>
              </w:rPr>
              <w:t>See D2.4.1.1.</w:t>
            </w:r>
          </w:p>
        </w:tc>
        <w:tc>
          <w:tcPr>
            <w:tcW w:w="1559" w:type="dxa"/>
          </w:tcPr>
          <w:p w:rsidR="00B54201" w:rsidRDefault="00045B88">
            <w:pPr>
              <w:pStyle w:val="TableBullet"/>
            </w:pPr>
            <w:r>
              <w:t>Identify the premises from which backflow occurred and install appropriate device.</w:t>
            </w:r>
          </w:p>
        </w:tc>
      </w:tr>
      <w:tr w:rsidR="00B54201">
        <w:trPr>
          <w:cantSplit/>
        </w:trPr>
        <w:tc>
          <w:tcPr>
            <w:tcW w:w="8080" w:type="dxa"/>
            <w:gridSpan w:val="6"/>
          </w:tcPr>
          <w:p w:rsidR="00B54201" w:rsidRDefault="00045B88">
            <w:pPr>
              <w:pStyle w:val="TableText"/>
              <w:keepNext/>
            </w:pPr>
            <w:r>
              <w:t xml:space="preserve">Event:  </w:t>
            </w:r>
            <w:r>
              <w:rPr>
                <w:b/>
              </w:rPr>
              <w:t>NO, INADEQUATE, FAULTY, OR INCORRECTLY INSTALLED BACKFLOW PREVENTION DEVICE</w:t>
            </w:r>
            <w:r>
              <w:t xml:space="preserve"> (cont’d)</w:t>
            </w:r>
          </w:p>
        </w:tc>
      </w:tr>
      <w:tr w:rsidR="00B54201">
        <w:trPr>
          <w:cantSplit/>
        </w:trPr>
        <w:tc>
          <w:tcPr>
            <w:tcW w:w="1417" w:type="dxa"/>
          </w:tcPr>
          <w:p w:rsidR="00B54201" w:rsidRDefault="00045B88">
            <w:pPr>
              <w:pStyle w:val="TableText"/>
              <w:rPr>
                <w:b/>
              </w:rPr>
            </w:pPr>
            <w:r>
              <w:rPr>
                <w:b/>
              </w:rPr>
              <w:t>D2.4.2.2</w:t>
            </w:r>
          </w:p>
          <w:p w:rsidR="00B54201" w:rsidRDefault="00045B88">
            <w:pPr>
              <w:pStyle w:val="TableText"/>
              <w:spacing w:before="0"/>
            </w:pPr>
            <w:r>
              <w:t>An illegal cross connection to the reticulated system.</w:t>
            </w:r>
          </w:p>
        </w:tc>
        <w:tc>
          <w:tcPr>
            <w:tcW w:w="1984" w:type="dxa"/>
            <w:tcBorders>
              <w:bottom w:val="single" w:sz="4" w:space="0" w:color="auto"/>
            </w:tcBorders>
          </w:tcPr>
          <w:p w:rsidR="00B54201" w:rsidRDefault="00045B88">
            <w:pPr>
              <w:pStyle w:val="TableBullet"/>
            </w:pPr>
            <w:r>
              <w:t>Annual inspection and testing of backflow prevention devices.</w:t>
            </w:r>
          </w:p>
          <w:p w:rsidR="00B54201" w:rsidRDefault="00045B88">
            <w:pPr>
              <w:pStyle w:val="TableBullet"/>
              <w:spacing w:after="80"/>
            </w:pPr>
            <w:r>
              <w:t>Ensure that only appropriately qualified persons are permitted to carry out connection work undertaken for the water supplier.</w:t>
            </w:r>
          </w:p>
        </w:tc>
        <w:tc>
          <w:tcPr>
            <w:tcW w:w="3119" w:type="dxa"/>
            <w:gridSpan w:val="3"/>
          </w:tcPr>
          <w:p w:rsidR="00B54201" w:rsidRDefault="00045B88">
            <w:pPr>
              <w:pStyle w:val="TableText"/>
              <w:jc w:val="center"/>
              <w:rPr>
                <w:i/>
              </w:rPr>
            </w:pPr>
            <w:r>
              <w:rPr>
                <w:i/>
              </w:rPr>
              <w:t>See D2.4.1.1.</w:t>
            </w:r>
          </w:p>
        </w:tc>
        <w:tc>
          <w:tcPr>
            <w:tcW w:w="1560" w:type="dxa"/>
          </w:tcPr>
          <w:p w:rsidR="00B54201" w:rsidRDefault="00045B88">
            <w:pPr>
              <w:pStyle w:val="TableBullet"/>
            </w:pPr>
            <w:r>
              <w:t>Check on qualifications of staff undertaking connections.</w:t>
            </w:r>
          </w:p>
        </w:tc>
      </w:tr>
      <w:tr w:rsidR="00B54201">
        <w:trPr>
          <w:cantSplit/>
        </w:trPr>
        <w:tc>
          <w:tcPr>
            <w:tcW w:w="1417" w:type="dxa"/>
          </w:tcPr>
          <w:p w:rsidR="00B54201" w:rsidRDefault="00045B88">
            <w:pPr>
              <w:pStyle w:val="TableText"/>
              <w:rPr>
                <w:b/>
              </w:rPr>
            </w:pPr>
            <w:r>
              <w:rPr>
                <w:b/>
              </w:rPr>
              <w:t>D2.4.2.3</w:t>
            </w:r>
          </w:p>
          <w:p w:rsidR="00B54201" w:rsidRDefault="00045B88">
            <w:pPr>
              <w:pStyle w:val="TableText"/>
              <w:spacing w:before="0"/>
            </w:pPr>
            <w:r>
              <w:t>The backflow prevention device may have failed safe, but may then have been removed to maintain the water flow and not been replaced.</w:t>
            </w:r>
          </w:p>
        </w:tc>
        <w:tc>
          <w:tcPr>
            <w:tcW w:w="1984" w:type="dxa"/>
            <w:tcBorders>
              <w:bottom w:val="single" w:sz="4" w:space="0" w:color="auto"/>
            </w:tcBorders>
          </w:tcPr>
          <w:p w:rsidR="00B54201" w:rsidRDefault="00045B88">
            <w:pPr>
              <w:pStyle w:val="TableBullet"/>
            </w:pPr>
            <w:r>
              <w:t>Annual inspection, testing and replacement, where necessary, of backflow prevention devices.</w:t>
            </w:r>
          </w:p>
          <w:p w:rsidR="00B54201" w:rsidRDefault="00045B88">
            <w:pPr>
              <w:pStyle w:val="TableBullet"/>
            </w:pPr>
            <w:r>
              <w:t>Implementation of a comprehensive spare parts policy.</w:t>
            </w:r>
          </w:p>
        </w:tc>
        <w:tc>
          <w:tcPr>
            <w:tcW w:w="3119" w:type="dxa"/>
            <w:gridSpan w:val="3"/>
          </w:tcPr>
          <w:p w:rsidR="00B54201" w:rsidRDefault="00045B88">
            <w:pPr>
              <w:pStyle w:val="TableText"/>
              <w:jc w:val="center"/>
              <w:rPr>
                <w:i/>
              </w:rPr>
            </w:pPr>
            <w:r>
              <w:rPr>
                <w:i/>
              </w:rPr>
              <w:t>See D2.4.1.1.</w:t>
            </w:r>
          </w:p>
        </w:tc>
        <w:tc>
          <w:tcPr>
            <w:tcW w:w="1560" w:type="dxa"/>
          </w:tcPr>
          <w:p w:rsidR="00B54201" w:rsidRDefault="00045B88">
            <w:pPr>
              <w:pStyle w:val="TableBullet"/>
            </w:pPr>
            <w:r>
              <w:t>Repair/replace.</w:t>
            </w:r>
          </w:p>
        </w:tc>
      </w:tr>
      <w:tr w:rsidR="00B54201">
        <w:trPr>
          <w:cantSplit/>
        </w:trPr>
        <w:tc>
          <w:tcPr>
            <w:tcW w:w="1417" w:type="dxa"/>
          </w:tcPr>
          <w:p w:rsidR="00B54201" w:rsidRDefault="00045B88">
            <w:pPr>
              <w:pStyle w:val="TableText"/>
              <w:rPr>
                <w:b/>
              </w:rPr>
            </w:pPr>
            <w:r>
              <w:rPr>
                <w:b/>
              </w:rPr>
              <w:t>D2.4.2.4</w:t>
            </w:r>
          </w:p>
          <w:p w:rsidR="00B54201" w:rsidRDefault="00045B88">
            <w:pPr>
              <w:pStyle w:val="TableText"/>
              <w:spacing w:before="0"/>
            </w:pPr>
            <w:r>
              <w:t>No backflow prevention device installed because of insufficient knowledge of activities on the premises.</w:t>
            </w:r>
          </w:p>
        </w:tc>
        <w:tc>
          <w:tcPr>
            <w:tcW w:w="1984" w:type="dxa"/>
            <w:tcBorders>
              <w:bottom w:val="single" w:sz="4" w:space="0" w:color="auto"/>
            </w:tcBorders>
          </w:tcPr>
          <w:p w:rsidR="00B54201" w:rsidRDefault="00045B88">
            <w:pPr>
              <w:pStyle w:val="TableBullet"/>
            </w:pPr>
            <w:r>
              <w:t>Develop guidelines in conjunction with local authority so that the supply engineer is informed of changes in the use of premises by the part of the authority concerned with the registration of building modifications.</w:t>
            </w:r>
          </w:p>
          <w:p w:rsidR="00B54201" w:rsidRDefault="00045B88">
            <w:pPr>
              <w:pStyle w:val="TableBullet"/>
              <w:spacing w:after="80"/>
            </w:pPr>
            <w:r>
              <w:t>Annual inspection and testing of backflow prevention devices.</w:t>
            </w:r>
          </w:p>
        </w:tc>
        <w:tc>
          <w:tcPr>
            <w:tcW w:w="3119" w:type="dxa"/>
            <w:gridSpan w:val="3"/>
          </w:tcPr>
          <w:p w:rsidR="00B54201" w:rsidRDefault="00045B88">
            <w:pPr>
              <w:pStyle w:val="TableText"/>
              <w:jc w:val="center"/>
              <w:rPr>
                <w:i/>
              </w:rPr>
            </w:pPr>
            <w:r>
              <w:rPr>
                <w:i/>
              </w:rPr>
              <w:t>See D2.4.1.1.</w:t>
            </w:r>
          </w:p>
        </w:tc>
        <w:tc>
          <w:tcPr>
            <w:tcW w:w="1560" w:type="dxa"/>
          </w:tcPr>
          <w:p w:rsidR="00B54201" w:rsidRDefault="00045B88">
            <w:pPr>
              <w:pStyle w:val="TableBullet"/>
            </w:pPr>
            <w:r>
              <w:t>Identify the premises from which backflow occurred and install appropriate device.</w:t>
            </w:r>
          </w:p>
        </w:tc>
      </w:tr>
      <w:tr w:rsidR="00B54201">
        <w:trPr>
          <w:cantSplit/>
        </w:trPr>
        <w:tc>
          <w:tcPr>
            <w:tcW w:w="1417" w:type="dxa"/>
          </w:tcPr>
          <w:p w:rsidR="00B54201" w:rsidRDefault="00045B88">
            <w:pPr>
              <w:pStyle w:val="TableText"/>
              <w:rPr>
                <w:b/>
              </w:rPr>
            </w:pPr>
            <w:r>
              <w:rPr>
                <w:b/>
              </w:rPr>
              <w:t>D2.4.2.5</w:t>
            </w:r>
          </w:p>
          <w:p w:rsidR="00B54201" w:rsidRDefault="00045B88">
            <w:pPr>
              <w:pStyle w:val="TableText"/>
              <w:spacing w:before="0"/>
            </w:pPr>
            <w:r>
              <w:t>Failure of backflow prevention device.</w:t>
            </w:r>
          </w:p>
        </w:tc>
        <w:tc>
          <w:tcPr>
            <w:tcW w:w="1984" w:type="dxa"/>
          </w:tcPr>
          <w:p w:rsidR="00B54201" w:rsidRDefault="00045B88">
            <w:pPr>
              <w:pStyle w:val="TableBullet"/>
            </w:pPr>
            <w:r>
              <w:t>Annual inspection and testing of backflow prevention devices.</w:t>
            </w:r>
          </w:p>
        </w:tc>
        <w:tc>
          <w:tcPr>
            <w:tcW w:w="3119" w:type="dxa"/>
            <w:gridSpan w:val="3"/>
          </w:tcPr>
          <w:p w:rsidR="00B54201" w:rsidRDefault="00045B88">
            <w:pPr>
              <w:pStyle w:val="TableText"/>
              <w:jc w:val="center"/>
              <w:rPr>
                <w:i/>
              </w:rPr>
            </w:pPr>
            <w:r>
              <w:rPr>
                <w:i/>
              </w:rPr>
              <w:t>See D2.4.1.1.</w:t>
            </w:r>
          </w:p>
        </w:tc>
        <w:tc>
          <w:tcPr>
            <w:tcW w:w="1560" w:type="dxa"/>
          </w:tcPr>
          <w:p w:rsidR="00B54201" w:rsidRDefault="00045B88">
            <w:pPr>
              <w:pStyle w:val="TableBullet"/>
            </w:pPr>
            <w:r>
              <w:t>Repair/replace.</w:t>
            </w:r>
          </w:p>
        </w:tc>
      </w:tr>
      <w:tr w:rsidR="00B54201">
        <w:trPr>
          <w:cantSplit/>
        </w:trPr>
        <w:tc>
          <w:tcPr>
            <w:tcW w:w="1417" w:type="dxa"/>
          </w:tcPr>
          <w:p w:rsidR="00B54201" w:rsidRDefault="00045B88">
            <w:pPr>
              <w:pStyle w:val="TableText"/>
              <w:rPr>
                <w:b/>
              </w:rPr>
            </w:pPr>
            <w:r>
              <w:rPr>
                <w:b/>
              </w:rPr>
              <w:t>D2.4.2.6</w:t>
            </w:r>
          </w:p>
          <w:p w:rsidR="00B54201" w:rsidRDefault="00045B88">
            <w:pPr>
              <w:pStyle w:val="TableText"/>
              <w:spacing w:before="0"/>
            </w:pPr>
            <w:r>
              <w:t>Vandalism or accidental damage.</w:t>
            </w:r>
          </w:p>
        </w:tc>
        <w:tc>
          <w:tcPr>
            <w:tcW w:w="1984" w:type="dxa"/>
            <w:tcBorders>
              <w:bottom w:val="single" w:sz="4" w:space="0" w:color="auto"/>
            </w:tcBorders>
          </w:tcPr>
          <w:p w:rsidR="00B54201" w:rsidRDefault="00045B88">
            <w:pPr>
              <w:pStyle w:val="TableBullet"/>
            </w:pPr>
            <w:r>
              <w:t>Where necessary, provide lockable enclosures for backflow prevention devices.</w:t>
            </w:r>
          </w:p>
          <w:p w:rsidR="00B54201" w:rsidRDefault="00045B88">
            <w:pPr>
              <w:pStyle w:val="TableBullet"/>
              <w:spacing w:after="80"/>
            </w:pPr>
            <w:r>
              <w:t>Annual inspection and testing of backflow prevention devices.</w:t>
            </w:r>
          </w:p>
        </w:tc>
        <w:tc>
          <w:tcPr>
            <w:tcW w:w="1418" w:type="dxa"/>
          </w:tcPr>
          <w:p w:rsidR="00B54201" w:rsidRDefault="00045B88">
            <w:pPr>
              <w:pStyle w:val="TableText"/>
              <w:jc w:val="center"/>
              <w:rPr>
                <w:i/>
              </w:rPr>
            </w:pPr>
            <w:r>
              <w:rPr>
                <w:i/>
              </w:rPr>
              <w:t>See D2.4.1.1.</w:t>
            </w:r>
          </w:p>
        </w:tc>
        <w:tc>
          <w:tcPr>
            <w:tcW w:w="1701" w:type="dxa"/>
            <w:gridSpan w:val="2"/>
          </w:tcPr>
          <w:p w:rsidR="00B54201" w:rsidRDefault="00045B88">
            <w:pPr>
              <w:pStyle w:val="TableBullet"/>
            </w:pPr>
            <w:r>
              <w:t>Reports by consumers of gross contamination of tap water.</w:t>
            </w:r>
          </w:p>
        </w:tc>
        <w:tc>
          <w:tcPr>
            <w:tcW w:w="1559" w:type="dxa"/>
          </w:tcPr>
          <w:p w:rsidR="00B54201" w:rsidRDefault="00045B88">
            <w:pPr>
              <w:pStyle w:val="TableBullet"/>
            </w:pPr>
            <w:r>
              <w:t>Repair/replace.</w:t>
            </w:r>
          </w:p>
          <w:p w:rsidR="00B54201" w:rsidRDefault="00045B88">
            <w:pPr>
              <w:pStyle w:val="TableBullet"/>
            </w:pPr>
            <w:r>
              <w:t>Protect from future damage.</w:t>
            </w:r>
          </w:p>
        </w:tc>
      </w:tr>
    </w:tbl>
    <w:p w:rsidR="00B54201" w:rsidRDefault="00B54201"/>
    <w:p w:rsidR="00B54201" w:rsidRDefault="00045B88">
      <w:pPr>
        <w:pStyle w:val="Heading1"/>
      </w:pPr>
      <w:r>
        <w:br w:type="page"/>
      </w:r>
      <w:bookmarkStart w:id="6" w:name="_Toc378942115"/>
      <w:r>
        <w:t>Risk Assessment Table</w:t>
      </w:r>
      <w:bookmarkEnd w:id="6"/>
    </w:p>
    <w:p w:rsidR="00B54201" w:rsidRDefault="00045B88">
      <w:r>
        <w:t xml:space="preserve">The following table sets out in detail situations in which the absence of adequate backflow prevention may create risk to public health, and the comparative levels of risk.  The risk rankings in the table are modified from information contained within Table E3 of </w:t>
      </w:r>
      <w:r>
        <w:rPr>
          <w:i/>
        </w:rPr>
        <w:t xml:space="preserve">AS/NZS 3500.1.2 </w:t>
      </w:r>
      <w:r>
        <w:t>(1999).</w:t>
      </w:r>
    </w:p>
    <w:p w:rsidR="00B54201" w:rsidRDefault="00B54201"/>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4677"/>
        <w:gridCol w:w="2410"/>
      </w:tblGrid>
      <w:tr w:rsidR="00B54201">
        <w:trPr>
          <w:cantSplit/>
          <w:tblHeader/>
        </w:trPr>
        <w:tc>
          <w:tcPr>
            <w:tcW w:w="992" w:type="dxa"/>
          </w:tcPr>
          <w:p w:rsidR="00B54201" w:rsidRDefault="00045B88">
            <w:pPr>
              <w:pStyle w:val="TableText"/>
              <w:rPr>
                <w:b/>
              </w:rPr>
            </w:pPr>
            <w:r>
              <w:rPr>
                <w:b/>
              </w:rPr>
              <w:t>Reference</w:t>
            </w:r>
          </w:p>
        </w:tc>
        <w:tc>
          <w:tcPr>
            <w:tcW w:w="4677" w:type="dxa"/>
          </w:tcPr>
          <w:p w:rsidR="00B54201" w:rsidRDefault="00045B88">
            <w:pPr>
              <w:pStyle w:val="TableText"/>
              <w:rPr>
                <w:b/>
              </w:rPr>
            </w:pPr>
            <w:r>
              <w:rPr>
                <w:b/>
              </w:rPr>
              <w:t>Event</w:t>
            </w:r>
          </w:p>
        </w:tc>
        <w:tc>
          <w:tcPr>
            <w:tcW w:w="2410" w:type="dxa"/>
          </w:tcPr>
          <w:p w:rsidR="00B54201" w:rsidRDefault="00045B88">
            <w:pPr>
              <w:pStyle w:val="TableText"/>
              <w:rPr>
                <w:b/>
              </w:rPr>
            </w:pPr>
            <w:r>
              <w:rPr>
                <w:b/>
              </w:rPr>
              <w:t>Comment</w:t>
            </w:r>
          </w:p>
        </w:tc>
      </w:tr>
      <w:tr w:rsidR="00B54201">
        <w:trPr>
          <w:cantSplit/>
        </w:trPr>
        <w:tc>
          <w:tcPr>
            <w:tcW w:w="992" w:type="dxa"/>
          </w:tcPr>
          <w:p w:rsidR="00B54201" w:rsidRDefault="00045B88">
            <w:pPr>
              <w:pStyle w:val="TableText"/>
              <w:rPr>
                <w:b/>
              </w:rPr>
            </w:pPr>
            <w:r>
              <w:rPr>
                <w:b/>
              </w:rPr>
              <w:t>D2.4.2</w:t>
            </w:r>
          </w:p>
        </w:tc>
        <w:tc>
          <w:tcPr>
            <w:tcW w:w="4677" w:type="dxa"/>
          </w:tcPr>
          <w:p w:rsidR="00B54201" w:rsidRDefault="00045B88">
            <w:pPr>
              <w:pStyle w:val="TableText"/>
              <w:rPr>
                <w:b/>
              </w:rPr>
            </w:pPr>
            <w:r>
              <w:rPr>
                <w:b/>
              </w:rPr>
              <w:t>High-risk situations:</w:t>
            </w:r>
          </w:p>
          <w:p w:rsidR="00B54201" w:rsidRDefault="00045B88">
            <w:pPr>
              <w:pStyle w:val="TableBullet"/>
              <w:spacing w:before="0"/>
            </w:pPr>
            <w:r>
              <w:t>Premises with an alternative non-potable water supply.</w:t>
            </w:r>
          </w:p>
          <w:p w:rsidR="00B54201" w:rsidRDefault="00045B88">
            <w:pPr>
              <w:pStyle w:val="TableBullet"/>
            </w:pPr>
            <w:r>
              <w:t>Premises where inspection is restricted.</w:t>
            </w:r>
          </w:p>
          <w:p w:rsidR="00B54201" w:rsidRDefault="00045B88">
            <w:pPr>
              <w:pStyle w:val="TableBullet"/>
            </w:pPr>
            <w:r>
              <w:t>Sanitary fixtures and systems.</w:t>
            </w:r>
          </w:p>
          <w:p w:rsidR="00B54201" w:rsidRDefault="00045B88">
            <w:pPr>
              <w:pStyle w:val="TableBullet"/>
            </w:pPr>
            <w:r>
              <w:t>Medical, dental, hospital, mortuary or veterinary equipment.</w:t>
            </w:r>
          </w:p>
          <w:p w:rsidR="00B54201" w:rsidRDefault="00045B88">
            <w:pPr>
              <w:pStyle w:val="TableBullet"/>
            </w:pPr>
            <w:r>
              <w:t>Piers, marinas, wharves and waterfront equipment and including ships’ water supplies.</w:t>
            </w:r>
          </w:p>
          <w:p w:rsidR="00B54201" w:rsidRDefault="00045B88">
            <w:pPr>
              <w:pStyle w:val="TableBullet"/>
            </w:pPr>
            <w:r>
              <w:t>Meatworks and abattoirs.</w:t>
            </w:r>
          </w:p>
          <w:p w:rsidR="00B54201" w:rsidRDefault="00045B88">
            <w:pPr>
              <w:pStyle w:val="TableBullet"/>
            </w:pPr>
            <w:r>
              <w:t>Sewage treatment plants.</w:t>
            </w:r>
          </w:p>
          <w:p w:rsidR="00B54201" w:rsidRDefault="00045B88">
            <w:pPr>
              <w:pStyle w:val="TableBullet"/>
            </w:pPr>
            <w:r>
              <w:t>Drainage systems.</w:t>
            </w:r>
          </w:p>
          <w:p w:rsidR="00B54201" w:rsidRDefault="00045B88">
            <w:pPr>
              <w:pStyle w:val="TableBullet"/>
            </w:pPr>
            <w:r>
              <w:t>Boilers.</w:t>
            </w:r>
          </w:p>
          <w:p w:rsidR="00B54201" w:rsidRDefault="00045B88">
            <w:pPr>
              <w:pStyle w:val="TableBullet"/>
            </w:pPr>
            <w:r>
              <w:t>Cooling towers and air conditioners.</w:t>
            </w:r>
          </w:p>
          <w:p w:rsidR="00B54201" w:rsidRDefault="00045B88">
            <w:pPr>
              <w:pStyle w:val="TableBullet"/>
            </w:pPr>
            <w:r>
              <w:t>Equipment, tanks, fixed hoses, hose attachment outlets, appliances and other forms of cross connection within:</w:t>
            </w:r>
          </w:p>
          <w:p w:rsidR="00B54201" w:rsidRDefault="00045B88">
            <w:pPr>
              <w:pStyle w:val="TableDash"/>
            </w:pPr>
            <w:r>
              <w:t>car and plant washing facilities</w:t>
            </w:r>
          </w:p>
          <w:p w:rsidR="00B54201" w:rsidRDefault="00045B88">
            <w:pPr>
              <w:pStyle w:val="TableDash"/>
            </w:pPr>
            <w:r>
              <w:t>dry-cleaning premises</w:t>
            </w:r>
          </w:p>
          <w:p w:rsidR="00B54201" w:rsidRDefault="00045B88">
            <w:pPr>
              <w:pStyle w:val="TableDash"/>
            </w:pPr>
            <w:r>
              <w:t>photographic processing laboratories</w:t>
            </w:r>
          </w:p>
          <w:p w:rsidR="00B54201" w:rsidRDefault="00045B88">
            <w:pPr>
              <w:pStyle w:val="TableDash"/>
            </w:pPr>
            <w:r>
              <w:t>funeral parlours</w:t>
            </w:r>
          </w:p>
          <w:p w:rsidR="00B54201" w:rsidRDefault="00045B88">
            <w:pPr>
              <w:pStyle w:val="TableDash"/>
            </w:pPr>
            <w:r>
              <w:t>metal finishing plants</w:t>
            </w:r>
          </w:p>
          <w:p w:rsidR="00B54201" w:rsidRDefault="00045B88">
            <w:pPr>
              <w:pStyle w:val="TableDash"/>
            </w:pPr>
            <w:r>
              <w:t>weed or pest spraying facilities</w:t>
            </w:r>
          </w:p>
          <w:p w:rsidR="00B54201" w:rsidRDefault="00045B88">
            <w:pPr>
              <w:pStyle w:val="TableDash"/>
            </w:pPr>
            <w:r>
              <w:t>mixing of chemicals, pesticides</w:t>
            </w:r>
          </w:p>
          <w:p w:rsidR="00B54201" w:rsidRDefault="00045B88">
            <w:pPr>
              <w:pStyle w:val="TableDash"/>
            </w:pPr>
            <w:r>
              <w:t>nurseries</w:t>
            </w:r>
          </w:p>
          <w:p w:rsidR="00B54201" w:rsidRDefault="00045B88">
            <w:pPr>
              <w:pStyle w:val="TableDash"/>
            </w:pPr>
            <w:r>
              <w:t>chemical plants, any premises using, processing or manufacturing toxic chemicals</w:t>
            </w:r>
          </w:p>
          <w:p w:rsidR="00B54201" w:rsidRDefault="00045B88">
            <w:pPr>
              <w:pStyle w:val="TableDash"/>
            </w:pPr>
            <w:r>
              <w:t>dental surgeries</w:t>
            </w:r>
          </w:p>
          <w:p w:rsidR="00B54201" w:rsidRDefault="00045B88">
            <w:pPr>
              <w:pStyle w:val="TableDash"/>
            </w:pPr>
            <w:r>
              <w:t>chemical laboratories</w:t>
            </w:r>
          </w:p>
          <w:p w:rsidR="00B54201" w:rsidRDefault="00045B88">
            <w:pPr>
              <w:pStyle w:val="TableDash"/>
            </w:pPr>
            <w:r>
              <w:t>pathology laboratories</w:t>
            </w:r>
          </w:p>
          <w:p w:rsidR="00B54201" w:rsidRDefault="00045B88">
            <w:pPr>
              <w:pStyle w:val="TableDash"/>
            </w:pPr>
            <w:r>
              <w:t>universities and research facilities</w:t>
            </w:r>
          </w:p>
          <w:p w:rsidR="00B54201" w:rsidRDefault="00045B88">
            <w:pPr>
              <w:pStyle w:val="TableDash"/>
            </w:pPr>
            <w:r>
              <w:t>timber treatment facilities</w:t>
            </w:r>
          </w:p>
          <w:p w:rsidR="00B54201" w:rsidRDefault="00045B88">
            <w:pPr>
              <w:pStyle w:val="TableDash"/>
            </w:pPr>
            <w:r>
              <w:t>water treatment facilities</w:t>
            </w:r>
          </w:p>
          <w:p w:rsidR="00B54201" w:rsidRDefault="00045B88">
            <w:pPr>
              <w:pStyle w:val="TableDash"/>
              <w:spacing w:after="80"/>
            </w:pPr>
            <w:r>
              <w:t>vehicular sewage disposal facilities.</w:t>
            </w:r>
          </w:p>
        </w:tc>
        <w:tc>
          <w:tcPr>
            <w:tcW w:w="2410" w:type="dxa"/>
          </w:tcPr>
          <w:p w:rsidR="00B54201" w:rsidRDefault="00045B88">
            <w:pPr>
              <w:pStyle w:val="TableText"/>
            </w:pPr>
            <w:r>
              <w:t>Minimum recommended level of protection:</w:t>
            </w:r>
          </w:p>
          <w:p w:rsidR="00B54201" w:rsidRDefault="00045B88">
            <w:pPr>
              <w:pStyle w:val="TableBullet"/>
              <w:spacing w:before="0"/>
            </w:pPr>
            <w:r>
              <w:t>Reduced pressure backflow-prevention device.</w:t>
            </w:r>
            <w:r>
              <w:rPr>
                <w:vertAlign w:val="superscript"/>
              </w:rPr>
              <w:t>‡</w:t>
            </w:r>
          </w:p>
        </w:tc>
      </w:tr>
    </w:tbl>
    <w:p w:rsidR="00B54201" w:rsidRDefault="00045B88">
      <w:pPr>
        <w:pStyle w:val="Note"/>
      </w:pPr>
      <w:r>
        <w:rPr>
          <w:vertAlign w:val="superscript"/>
        </w:rPr>
        <w:t>‡</w:t>
      </w:r>
      <w:r>
        <w:tab/>
        <w:t>Air gaps provide a high level of protection, and are also an acceptable form of protection in these instances, so long as they are properly maintained.</w:t>
      </w:r>
    </w:p>
    <w:p w:rsidR="00B54201" w:rsidRDefault="00B54201"/>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4677"/>
        <w:gridCol w:w="2410"/>
      </w:tblGrid>
      <w:tr w:rsidR="00B54201">
        <w:trPr>
          <w:cantSplit/>
          <w:tblHeader/>
        </w:trPr>
        <w:tc>
          <w:tcPr>
            <w:tcW w:w="992" w:type="dxa"/>
          </w:tcPr>
          <w:p w:rsidR="00B54201" w:rsidRDefault="00045B88">
            <w:pPr>
              <w:pStyle w:val="TableText"/>
              <w:keepNext/>
              <w:rPr>
                <w:b/>
              </w:rPr>
            </w:pPr>
            <w:r>
              <w:rPr>
                <w:b/>
              </w:rPr>
              <w:t>Reference</w:t>
            </w:r>
          </w:p>
        </w:tc>
        <w:tc>
          <w:tcPr>
            <w:tcW w:w="4677" w:type="dxa"/>
          </w:tcPr>
          <w:p w:rsidR="00B54201" w:rsidRDefault="00045B88">
            <w:pPr>
              <w:pStyle w:val="TableText"/>
              <w:keepNext/>
              <w:rPr>
                <w:b/>
              </w:rPr>
            </w:pPr>
            <w:r>
              <w:rPr>
                <w:b/>
              </w:rPr>
              <w:t>Event</w:t>
            </w:r>
          </w:p>
        </w:tc>
        <w:tc>
          <w:tcPr>
            <w:tcW w:w="2410" w:type="dxa"/>
          </w:tcPr>
          <w:p w:rsidR="00B54201" w:rsidRDefault="00045B88">
            <w:pPr>
              <w:pStyle w:val="TableText"/>
              <w:keepNext/>
              <w:rPr>
                <w:b/>
              </w:rPr>
            </w:pPr>
            <w:r>
              <w:rPr>
                <w:b/>
              </w:rPr>
              <w:t>Comment</w:t>
            </w:r>
          </w:p>
        </w:tc>
      </w:tr>
      <w:tr w:rsidR="00B54201">
        <w:trPr>
          <w:cantSplit/>
        </w:trPr>
        <w:tc>
          <w:tcPr>
            <w:tcW w:w="992" w:type="dxa"/>
          </w:tcPr>
          <w:p w:rsidR="00B54201" w:rsidRDefault="00B54201">
            <w:pPr>
              <w:pStyle w:val="TableText"/>
            </w:pPr>
          </w:p>
        </w:tc>
        <w:tc>
          <w:tcPr>
            <w:tcW w:w="4677" w:type="dxa"/>
          </w:tcPr>
          <w:p w:rsidR="00B54201" w:rsidRDefault="00045B88">
            <w:pPr>
              <w:pStyle w:val="TableText"/>
              <w:rPr>
                <w:b/>
              </w:rPr>
            </w:pPr>
            <w:r>
              <w:rPr>
                <w:b/>
              </w:rPr>
              <w:t>Medium-risk situations:</w:t>
            </w:r>
          </w:p>
          <w:p w:rsidR="00B54201" w:rsidRDefault="00045B88">
            <w:pPr>
              <w:pStyle w:val="TableBullet"/>
              <w:spacing w:before="0"/>
            </w:pPr>
            <w:r>
              <w:t>Premises with alternative potable water supply.</w:t>
            </w:r>
          </w:p>
          <w:p w:rsidR="00B54201" w:rsidRDefault="00045B88">
            <w:pPr>
              <w:pStyle w:val="TableBullet"/>
            </w:pPr>
            <w:r>
              <w:t>Premises with grey water reuse systems, or where water is recycled for cooling or other purposes.</w:t>
            </w:r>
          </w:p>
          <w:p w:rsidR="00B54201" w:rsidRDefault="00045B88">
            <w:pPr>
              <w:pStyle w:val="TableBullet"/>
            </w:pPr>
            <w:r>
              <w:t>Premises with reticulated and disinfected water systems.</w:t>
            </w:r>
          </w:p>
          <w:p w:rsidR="00B54201" w:rsidRDefault="00045B88">
            <w:pPr>
              <w:pStyle w:val="TableBullet"/>
            </w:pPr>
            <w:r>
              <w:t>Public and private swimming pools, and spa pools.</w:t>
            </w:r>
          </w:p>
          <w:p w:rsidR="00B54201" w:rsidRDefault="00045B88">
            <w:pPr>
              <w:pStyle w:val="TableBullet"/>
            </w:pPr>
            <w:r>
              <w:t>Food and beverage processing plants.</w:t>
            </w:r>
          </w:p>
          <w:p w:rsidR="00B54201" w:rsidRDefault="00045B88">
            <w:pPr>
              <w:pStyle w:val="TableBullet"/>
            </w:pPr>
            <w:r>
              <w:t>Irrigation systems.</w:t>
            </w:r>
          </w:p>
          <w:p w:rsidR="00B54201" w:rsidRDefault="00045B88">
            <w:pPr>
              <w:pStyle w:val="TableBullet"/>
            </w:pPr>
            <w:r>
              <w:t>Commercial laundry facilities.</w:t>
            </w:r>
          </w:p>
          <w:p w:rsidR="00B54201" w:rsidRDefault="00045B88">
            <w:pPr>
              <w:pStyle w:val="TableBullet"/>
            </w:pPr>
            <w:r>
              <w:t>Premises with rainwater tanks.</w:t>
            </w:r>
          </w:p>
          <w:p w:rsidR="00B54201" w:rsidRDefault="00045B88">
            <w:pPr>
              <w:pStyle w:val="TableBullet"/>
            </w:pPr>
            <w:r>
              <w:t>Hairdressing premises.</w:t>
            </w:r>
          </w:p>
          <w:p w:rsidR="00B54201" w:rsidRDefault="00045B88">
            <w:pPr>
              <w:pStyle w:val="TableBullet"/>
            </w:pPr>
            <w:r>
              <w:t>Automatic fire sprinkler systems.</w:t>
            </w:r>
          </w:p>
          <w:p w:rsidR="00B54201" w:rsidRDefault="00045B88">
            <w:pPr>
              <w:pStyle w:val="TableBullet"/>
              <w:spacing w:after="80"/>
            </w:pPr>
            <w:r>
              <w:t>Equipment tanks, fixed hoses, hose attachment outlets, appliances and other forms of cross connection within industrial or commercial facilities where toxic or hazardous chemicals are not used.</w:t>
            </w:r>
          </w:p>
        </w:tc>
        <w:tc>
          <w:tcPr>
            <w:tcW w:w="2410" w:type="dxa"/>
          </w:tcPr>
          <w:p w:rsidR="00B54201" w:rsidRDefault="00045B88">
            <w:pPr>
              <w:pStyle w:val="TableText"/>
            </w:pPr>
            <w:r>
              <w:t>Minimum recommended level of protection:</w:t>
            </w:r>
          </w:p>
          <w:p w:rsidR="00B54201" w:rsidRDefault="00045B88">
            <w:pPr>
              <w:pStyle w:val="TableBullet"/>
              <w:spacing w:before="0"/>
            </w:pPr>
            <w:r>
              <w:t>Reduced pressure backflow prevention device.</w:t>
            </w:r>
            <w:r>
              <w:rPr>
                <w:vertAlign w:val="superscript"/>
              </w:rPr>
              <w:t>‡</w:t>
            </w:r>
          </w:p>
          <w:p w:rsidR="00B54201" w:rsidRDefault="00045B88">
            <w:pPr>
              <w:pStyle w:val="TableBullet"/>
            </w:pPr>
            <w:r>
              <w:t>Testable double check valve.</w:t>
            </w:r>
            <w:r>
              <w:rPr>
                <w:vertAlign w:val="superscript"/>
              </w:rPr>
              <w:t>‡</w:t>
            </w:r>
          </w:p>
        </w:tc>
      </w:tr>
      <w:tr w:rsidR="00B54201">
        <w:trPr>
          <w:cantSplit/>
        </w:trPr>
        <w:tc>
          <w:tcPr>
            <w:tcW w:w="992" w:type="dxa"/>
          </w:tcPr>
          <w:p w:rsidR="00B54201" w:rsidRDefault="00B54201">
            <w:pPr>
              <w:pStyle w:val="TableText"/>
            </w:pPr>
          </w:p>
        </w:tc>
        <w:tc>
          <w:tcPr>
            <w:tcW w:w="4677" w:type="dxa"/>
          </w:tcPr>
          <w:p w:rsidR="00B54201" w:rsidRDefault="00045B88">
            <w:pPr>
              <w:pStyle w:val="TableText"/>
              <w:rPr>
                <w:b/>
              </w:rPr>
            </w:pPr>
            <w:r>
              <w:rPr>
                <w:b/>
              </w:rPr>
              <w:t>Low-risk situations:</w:t>
            </w:r>
          </w:p>
          <w:p w:rsidR="00B54201" w:rsidRDefault="00045B88">
            <w:pPr>
              <w:pStyle w:val="TableBullet"/>
              <w:spacing w:before="0"/>
            </w:pPr>
            <w:r>
              <w:t>Premises used for the storage or preparation of food or beverages.</w:t>
            </w:r>
          </w:p>
          <w:p w:rsidR="00B54201" w:rsidRDefault="00045B88">
            <w:pPr>
              <w:pStyle w:val="TableBullet"/>
            </w:pPr>
            <w:r>
              <w:t>Drink dispensers.</w:t>
            </w:r>
          </w:p>
          <w:p w:rsidR="00B54201" w:rsidRDefault="00045B88">
            <w:pPr>
              <w:pStyle w:val="TableBullet"/>
            </w:pPr>
            <w:r>
              <w:t>Hose taps for fixed domestic irrigation systems.</w:t>
            </w:r>
          </w:p>
        </w:tc>
        <w:tc>
          <w:tcPr>
            <w:tcW w:w="2410" w:type="dxa"/>
          </w:tcPr>
          <w:p w:rsidR="00B54201" w:rsidRDefault="00045B88">
            <w:pPr>
              <w:pStyle w:val="TableText"/>
            </w:pPr>
            <w:r>
              <w:t>Minimum recommended level of protection:</w:t>
            </w:r>
          </w:p>
          <w:p w:rsidR="00B54201" w:rsidRDefault="00045B88">
            <w:pPr>
              <w:pStyle w:val="TableBullet"/>
              <w:spacing w:before="0"/>
            </w:pPr>
            <w:r>
              <w:t>Testable double check valve.</w:t>
            </w:r>
          </w:p>
          <w:p w:rsidR="00B54201" w:rsidRDefault="00045B88">
            <w:pPr>
              <w:pStyle w:val="TableBullet"/>
            </w:pPr>
            <w:r>
              <w:t>Air gap.</w:t>
            </w:r>
          </w:p>
          <w:p w:rsidR="00B54201" w:rsidRDefault="00045B88">
            <w:pPr>
              <w:pStyle w:val="TableBullet"/>
              <w:spacing w:after="80"/>
            </w:pPr>
            <w:r>
              <w:t>Hose connector vacuum breaker (for hose taps).</w:t>
            </w:r>
          </w:p>
        </w:tc>
      </w:tr>
      <w:tr w:rsidR="00B54201">
        <w:trPr>
          <w:cantSplit/>
        </w:trPr>
        <w:tc>
          <w:tcPr>
            <w:tcW w:w="992" w:type="dxa"/>
          </w:tcPr>
          <w:p w:rsidR="00B54201" w:rsidRDefault="00B54201">
            <w:pPr>
              <w:pStyle w:val="TableText"/>
            </w:pPr>
          </w:p>
        </w:tc>
        <w:tc>
          <w:tcPr>
            <w:tcW w:w="4677" w:type="dxa"/>
          </w:tcPr>
          <w:p w:rsidR="00B54201" w:rsidRDefault="00045B88">
            <w:pPr>
              <w:pStyle w:val="TableText"/>
              <w:rPr>
                <w:b/>
              </w:rPr>
            </w:pPr>
            <w:r>
              <w:rPr>
                <w:b/>
              </w:rPr>
              <w:t>Very low-risk situations:</w:t>
            </w:r>
          </w:p>
          <w:p w:rsidR="00B54201" w:rsidRDefault="00045B88">
            <w:pPr>
              <w:pStyle w:val="TableBullet"/>
              <w:spacing w:before="0"/>
            </w:pPr>
            <w:r>
              <w:t>All household units (ie, residences).</w:t>
            </w:r>
          </w:p>
        </w:tc>
        <w:tc>
          <w:tcPr>
            <w:tcW w:w="2410" w:type="dxa"/>
          </w:tcPr>
          <w:p w:rsidR="00B54201" w:rsidRDefault="00045B88">
            <w:pPr>
              <w:pStyle w:val="TableText"/>
            </w:pPr>
            <w:r>
              <w:t>Minimum recommended level of protection.</w:t>
            </w:r>
          </w:p>
          <w:p w:rsidR="00B54201" w:rsidRDefault="00045B88">
            <w:pPr>
              <w:pStyle w:val="TableBullet"/>
              <w:spacing w:before="0"/>
            </w:pPr>
            <w:r>
              <w:t>Non-testable dual check valve (part of meter assembly maintained by water supplier).</w:t>
            </w:r>
          </w:p>
          <w:p w:rsidR="00B54201" w:rsidRDefault="00045B88">
            <w:pPr>
              <w:pStyle w:val="TableBullet"/>
              <w:spacing w:after="80"/>
            </w:pPr>
            <w:r>
              <w:t>Air gap.</w:t>
            </w:r>
          </w:p>
        </w:tc>
      </w:tr>
    </w:tbl>
    <w:p w:rsidR="00B54201" w:rsidRDefault="00B54201"/>
    <w:p w:rsidR="00B54201" w:rsidRDefault="00045B88">
      <w:pPr>
        <w:pStyle w:val="Heading1"/>
      </w:pPr>
      <w:r>
        <w:br w:type="page"/>
      </w:r>
      <w:bookmarkStart w:id="7" w:name="_Toc378942116"/>
      <w:r>
        <w:t>Contingency Plans</w:t>
      </w:r>
      <w:bookmarkEnd w:id="7"/>
    </w:p>
    <w:p w:rsidR="00B54201" w:rsidRDefault="00045B88">
      <w:r>
        <w:t>You may need to consult with the Medical Officer of Health to assess how serious a problem is, if an event happens despite preventive and corrective actions you have taken.</w:t>
      </w:r>
    </w:p>
    <w:p w:rsidR="00B54201" w:rsidRDefault="00B54201"/>
    <w:tbl>
      <w:tblPr>
        <w:tblW w:w="0" w:type="auto"/>
        <w:tblInd w:w="108" w:type="dxa"/>
        <w:tblLayout w:type="fixed"/>
        <w:tblLook w:val="0000" w:firstRow="0" w:lastRow="0" w:firstColumn="0" w:lastColumn="0" w:noHBand="0" w:noVBand="0"/>
      </w:tblPr>
      <w:tblGrid>
        <w:gridCol w:w="1560"/>
        <w:gridCol w:w="6662"/>
      </w:tblGrid>
      <w:tr w:rsidR="00B54201">
        <w:trPr>
          <w:cantSplit/>
        </w:trPr>
        <w:tc>
          <w:tcPr>
            <w:tcW w:w="8222" w:type="dxa"/>
            <w:gridSpan w:val="2"/>
            <w:tcBorders>
              <w:top w:val="single" w:sz="4" w:space="0" w:color="auto"/>
            </w:tcBorders>
          </w:tcPr>
          <w:p w:rsidR="00B54201" w:rsidRDefault="00045B88">
            <w:pPr>
              <w:spacing w:before="120" w:after="120"/>
              <w:jc w:val="left"/>
              <w:rPr>
                <w:b/>
              </w:rPr>
            </w:pPr>
            <w:r>
              <w:rPr>
                <w:b/>
                <w:i/>
              </w:rPr>
              <w:t xml:space="preserve">Event – </w:t>
            </w:r>
            <w:r>
              <w:rPr>
                <w:b/>
              </w:rPr>
              <w:t>Backflow into the distribution system occurs</w:t>
            </w:r>
          </w:p>
        </w:tc>
      </w:tr>
      <w:tr w:rsidR="00B54201">
        <w:tc>
          <w:tcPr>
            <w:tcW w:w="1560" w:type="dxa"/>
          </w:tcPr>
          <w:p w:rsidR="00B54201" w:rsidRDefault="00045B88">
            <w:pPr>
              <w:spacing w:before="120" w:after="120"/>
              <w:jc w:val="left"/>
              <w:rPr>
                <w:i/>
              </w:rPr>
            </w:pPr>
            <w:r>
              <w:rPr>
                <w:i/>
              </w:rPr>
              <w:t>Indicators:</w:t>
            </w:r>
          </w:p>
        </w:tc>
        <w:tc>
          <w:tcPr>
            <w:tcW w:w="6662" w:type="dxa"/>
          </w:tcPr>
          <w:p w:rsidR="00B54201" w:rsidRDefault="00045B88">
            <w:pPr>
              <w:pStyle w:val="Bullet"/>
              <w:jc w:val="left"/>
            </w:pPr>
            <w:r>
              <w:t>Complaints of discoloured, tasting or smelling water coming from taps.</w:t>
            </w:r>
          </w:p>
          <w:p w:rsidR="00B54201" w:rsidRDefault="00045B88">
            <w:pPr>
              <w:pStyle w:val="Bullet"/>
              <w:jc w:val="left"/>
            </w:pPr>
            <w:r>
              <w:t>Backflow incident reported by industry.</w:t>
            </w:r>
          </w:p>
          <w:p w:rsidR="00B54201" w:rsidRDefault="00045B88">
            <w:pPr>
              <w:pStyle w:val="Bullet"/>
              <w:jc w:val="left"/>
            </w:pPr>
            <w:r>
              <w:t>Reports of illness in parts of the community.</w:t>
            </w:r>
          </w:p>
          <w:p w:rsidR="00B54201" w:rsidRDefault="00045B88">
            <w:pPr>
              <w:pStyle w:val="Bullet"/>
              <w:spacing w:after="120"/>
              <w:jc w:val="left"/>
            </w:pPr>
            <w:r>
              <w:t>Inability to maintain disinfectant residual in parts of the distribution system.</w:t>
            </w:r>
          </w:p>
          <w:p w:rsidR="00B54201" w:rsidRDefault="00045B88">
            <w:pPr>
              <w:pStyle w:val="Bullet"/>
              <w:spacing w:after="120"/>
              <w:jc w:val="left"/>
            </w:pPr>
            <w:r>
              <w:rPr>
                <w:i/>
                <w:iCs/>
              </w:rPr>
              <w:t>E. coli</w:t>
            </w:r>
            <w:r>
              <w:t xml:space="preserve"> or coliforms found in the distribution system</w:t>
            </w:r>
          </w:p>
        </w:tc>
      </w:tr>
      <w:tr w:rsidR="00B54201">
        <w:tc>
          <w:tcPr>
            <w:tcW w:w="1560" w:type="dxa"/>
          </w:tcPr>
          <w:p w:rsidR="00B54201" w:rsidRDefault="00045B88">
            <w:pPr>
              <w:spacing w:before="120" w:after="120"/>
              <w:jc w:val="left"/>
              <w:rPr>
                <w:i/>
              </w:rPr>
            </w:pPr>
            <w:r>
              <w:rPr>
                <w:i/>
              </w:rPr>
              <w:t>Required actions:</w:t>
            </w:r>
          </w:p>
        </w:tc>
        <w:tc>
          <w:tcPr>
            <w:tcW w:w="6662" w:type="dxa"/>
          </w:tcPr>
          <w:p w:rsidR="00B54201" w:rsidRDefault="00045B88">
            <w:pPr>
              <w:pStyle w:val="Bullet"/>
              <w:jc w:val="left"/>
            </w:pPr>
            <w:r>
              <w:t>Notify the MOH, and in consultation warn consumers in the affected area not to draw water until further notice.  If necessary, provide another source of potable water until water of acceptable quality can again be supplied.</w:t>
            </w:r>
          </w:p>
          <w:p w:rsidR="00B54201" w:rsidRDefault="00045B88">
            <w:pPr>
              <w:pStyle w:val="Bullet"/>
              <w:jc w:val="left"/>
            </w:pPr>
            <w:r>
              <w:t>Identify the source of the backflow incident, and isolate until a backflow prevention device can be fitted, or the one already installed can be made operational.</w:t>
            </w:r>
          </w:p>
          <w:p w:rsidR="00B54201" w:rsidRDefault="00045B88">
            <w:pPr>
              <w:pStyle w:val="Bullet"/>
              <w:jc w:val="left"/>
            </w:pPr>
            <w:r>
              <w:t>Drain and flush the affected part of the distribution system, considering the need to flush with elevated chlorine concentrations if the incident may have involved microbiological contaminants.  (Consultation with the regional council will probably be required with regard to disposal of the flushed water.)</w:t>
            </w:r>
          </w:p>
          <w:p w:rsidR="00B54201" w:rsidRDefault="00045B88">
            <w:pPr>
              <w:pStyle w:val="Bullet"/>
              <w:jc w:val="left"/>
            </w:pPr>
            <w:r>
              <w:t>Monitor an appropriate determinand in the affected area to determine the successive of the contingency measures, and notify consumers, when the supply is safe to use, that they will need to flush their taps until good quality water an again be drawn.</w:t>
            </w:r>
          </w:p>
          <w:p w:rsidR="00B54201" w:rsidRDefault="00045B88">
            <w:pPr>
              <w:pStyle w:val="Bullet"/>
              <w:jc w:val="left"/>
            </w:pPr>
            <w:r>
              <w:t>Record cause of system failure and steps taken to correct.</w:t>
            </w:r>
          </w:p>
          <w:p w:rsidR="00B54201" w:rsidRDefault="00045B88">
            <w:pPr>
              <w:pStyle w:val="Bullet"/>
              <w:spacing w:after="120"/>
              <w:jc w:val="left"/>
            </w:pPr>
            <w:r>
              <w:t>Modify water safety plan if necessary.</w:t>
            </w:r>
          </w:p>
        </w:tc>
      </w:tr>
      <w:tr w:rsidR="00B54201">
        <w:tc>
          <w:tcPr>
            <w:tcW w:w="1560" w:type="dxa"/>
            <w:tcBorders>
              <w:bottom w:val="single" w:sz="4" w:space="0" w:color="auto"/>
            </w:tcBorders>
          </w:tcPr>
          <w:p w:rsidR="00B54201" w:rsidRDefault="00045B88">
            <w:pPr>
              <w:spacing w:before="120" w:after="120"/>
              <w:jc w:val="left"/>
              <w:rPr>
                <w:i/>
              </w:rPr>
            </w:pPr>
            <w:r>
              <w:rPr>
                <w:i/>
              </w:rPr>
              <w:t>Responsibility:</w:t>
            </w:r>
          </w:p>
        </w:tc>
        <w:tc>
          <w:tcPr>
            <w:tcW w:w="6662" w:type="dxa"/>
            <w:tcBorders>
              <w:bottom w:val="single" w:sz="4" w:space="0" w:color="auto"/>
            </w:tcBorders>
          </w:tcPr>
          <w:p w:rsidR="00B54201" w:rsidRDefault="00045B88">
            <w:pPr>
              <w:spacing w:before="120" w:after="120"/>
              <w:jc w:val="left"/>
            </w:pPr>
            <w:r>
              <w:t>Manager designated responsible for the water supply.</w:t>
            </w:r>
          </w:p>
        </w:tc>
      </w:tr>
    </w:tbl>
    <w:p w:rsidR="00B54201" w:rsidRDefault="00B54201"/>
    <w:p w:rsidR="00B54201" w:rsidRDefault="00045B88">
      <w:pPr>
        <w:pStyle w:val="Heading1"/>
      </w:pPr>
      <w:r>
        <w:br w:type="page"/>
      </w:r>
      <w:bookmarkStart w:id="8" w:name="_Toc378942117"/>
      <w:r>
        <w:t>Water Safety Plan Performance Assessment</w:t>
      </w:r>
      <w:bookmarkEnd w:id="8"/>
    </w:p>
    <w:p w:rsidR="00B54201" w:rsidRDefault="00045B88">
      <w:r>
        <w:t xml:space="preserve">To make sure that your supply’s water safety plan (formerly known as </w:t>
      </w:r>
      <w:r w:rsidR="007105C3">
        <w:t xml:space="preserve">a </w:t>
      </w:r>
      <w:r>
        <w:t>Public Health Risk Management Plan, PHRMP) is working properly, periodic checks are needed.  The overview document outlines what needs to be done.  The following table provides the detailed information for checking this particular supply element.</w:t>
      </w:r>
    </w:p>
    <w:p w:rsidR="00B54201" w:rsidRDefault="00B54201"/>
    <w:tbl>
      <w:tblPr>
        <w:tblW w:w="0" w:type="auto"/>
        <w:tblLayout w:type="fixed"/>
        <w:tblLook w:val="0000" w:firstRow="0" w:lastRow="0" w:firstColumn="0" w:lastColumn="0" w:noHBand="0" w:noVBand="0"/>
      </w:tblPr>
      <w:tblGrid>
        <w:gridCol w:w="2235"/>
        <w:gridCol w:w="6095"/>
      </w:tblGrid>
      <w:tr w:rsidR="00B54201">
        <w:tc>
          <w:tcPr>
            <w:tcW w:w="2235" w:type="dxa"/>
          </w:tcPr>
          <w:p w:rsidR="00B54201" w:rsidRDefault="00045B88">
            <w:pPr>
              <w:spacing w:before="120" w:after="120"/>
              <w:jc w:val="left"/>
              <w:rPr>
                <w:i/>
              </w:rPr>
            </w:pPr>
            <w:r>
              <w:rPr>
                <w:i/>
              </w:rPr>
              <w:t>What to measure or observe:</w:t>
            </w:r>
          </w:p>
        </w:tc>
        <w:tc>
          <w:tcPr>
            <w:tcW w:w="6095" w:type="dxa"/>
          </w:tcPr>
          <w:p w:rsidR="00B54201" w:rsidRDefault="00045B88">
            <w:pPr>
              <w:pStyle w:val="Bullet"/>
              <w:jc w:val="left"/>
            </w:pPr>
            <w:r>
              <w:t>Inspection records.</w:t>
            </w:r>
          </w:p>
          <w:p w:rsidR="00B54201" w:rsidRDefault="00045B88">
            <w:pPr>
              <w:pStyle w:val="Bullet"/>
              <w:jc w:val="left"/>
            </w:pPr>
            <w:r>
              <w:t>Quality assurance.</w:t>
            </w:r>
          </w:p>
          <w:p w:rsidR="00B54201" w:rsidRDefault="00045B88">
            <w:pPr>
              <w:spacing w:before="120" w:after="120"/>
              <w:jc w:val="left"/>
            </w:pPr>
            <w:r>
              <w:t>Inspections should be carried out by persons who have passed a recognised course of at least 40 hours (with refresher courses every three years).  Inspections should include all backflow prevention devices fitted by the water supplier.</w:t>
            </w:r>
          </w:p>
          <w:p w:rsidR="00B54201" w:rsidRDefault="00045B88">
            <w:pPr>
              <w:spacing w:after="120"/>
              <w:jc w:val="left"/>
            </w:pPr>
            <w:r>
              <w:t xml:space="preserve">Any subcontractor will need to provide appropriate assurances of training and quality for the persons they intend to use.  The testing shall be to a standard in accordance with Chapter 5 of the </w:t>
            </w:r>
            <w:r>
              <w:rPr>
                <w:i/>
              </w:rPr>
              <w:t>United States Environmental Protection Agency Cross Connection Manual</w:t>
            </w:r>
            <w:r>
              <w:t>, or AS 2845:Part 3.</w:t>
            </w:r>
          </w:p>
        </w:tc>
      </w:tr>
      <w:tr w:rsidR="00B54201">
        <w:tc>
          <w:tcPr>
            <w:tcW w:w="2235" w:type="dxa"/>
          </w:tcPr>
          <w:p w:rsidR="00B54201" w:rsidRDefault="00045B88">
            <w:pPr>
              <w:spacing w:before="120" w:after="120"/>
              <w:jc w:val="left"/>
              <w:rPr>
                <w:i/>
              </w:rPr>
            </w:pPr>
            <w:r>
              <w:rPr>
                <w:i/>
              </w:rPr>
              <w:t>How often:</w:t>
            </w:r>
          </w:p>
        </w:tc>
        <w:tc>
          <w:tcPr>
            <w:tcW w:w="6095" w:type="dxa"/>
          </w:tcPr>
          <w:p w:rsidR="00B54201" w:rsidRDefault="00045B88">
            <w:pPr>
              <w:pStyle w:val="Bullet"/>
              <w:spacing w:after="120"/>
              <w:jc w:val="left"/>
            </w:pPr>
            <w:r>
              <w:t>Inspectors must have 10 percent of their work independently checked on an annual basis, to ensure that standards are maintained.</w:t>
            </w:r>
          </w:p>
        </w:tc>
      </w:tr>
      <w:tr w:rsidR="00B54201">
        <w:tc>
          <w:tcPr>
            <w:tcW w:w="2235" w:type="dxa"/>
          </w:tcPr>
          <w:p w:rsidR="00B54201" w:rsidRDefault="00045B88">
            <w:pPr>
              <w:spacing w:before="120" w:after="120"/>
              <w:jc w:val="left"/>
              <w:rPr>
                <w:i/>
              </w:rPr>
            </w:pPr>
            <w:r>
              <w:rPr>
                <w:i/>
              </w:rPr>
              <w:t>What to do with the results:</w:t>
            </w:r>
          </w:p>
        </w:tc>
        <w:tc>
          <w:tcPr>
            <w:tcW w:w="6095" w:type="dxa"/>
          </w:tcPr>
          <w:p w:rsidR="00B54201" w:rsidRDefault="00045B88">
            <w:pPr>
              <w:pStyle w:val="Bullet"/>
              <w:jc w:val="left"/>
            </w:pPr>
            <w:r>
              <w:t>The collected data need to be periodically reviewed to see whether problems with this supply element are developing.  This should be done as frequently as the manager responsible considers necessary to minimise risk to public health arising from this supply element.</w:t>
            </w:r>
          </w:p>
          <w:p w:rsidR="00B54201" w:rsidRDefault="00045B88">
            <w:pPr>
              <w:pStyle w:val="Bullet"/>
              <w:jc w:val="left"/>
            </w:pPr>
            <w:r>
              <w:t>Should this review show any unusual incidents, indicate that proper procedures are not being carried out, or indicate that poor water quality is reaching customers, then review the procedures for managing backflow prevention.</w:t>
            </w:r>
          </w:p>
          <w:p w:rsidR="00B54201" w:rsidRDefault="00045B88">
            <w:pPr>
              <w:pStyle w:val="Bullet"/>
              <w:spacing w:after="120"/>
              <w:jc w:val="left"/>
            </w:pPr>
            <w:r>
              <w:t>Evaluate the monitoring results, and any actions taken as the result of having to implement a contingency plan, to see if the water safety plan needs modification – eg, preventive measures are up-to-date; the contingency plan steps are still adequate; and changes to protocols relating to the installation of backflow protection devices are recognised in the plan.</w:t>
            </w:r>
          </w:p>
        </w:tc>
      </w:tr>
      <w:tr w:rsidR="00B54201">
        <w:tc>
          <w:tcPr>
            <w:tcW w:w="2235" w:type="dxa"/>
          </w:tcPr>
          <w:p w:rsidR="00B54201" w:rsidRDefault="00045B88">
            <w:pPr>
              <w:spacing w:before="120" w:after="120"/>
              <w:jc w:val="left"/>
              <w:rPr>
                <w:i/>
              </w:rPr>
            </w:pPr>
            <w:r>
              <w:rPr>
                <w:i/>
              </w:rPr>
              <w:t>Responsibility:</w:t>
            </w:r>
          </w:p>
        </w:tc>
        <w:tc>
          <w:tcPr>
            <w:tcW w:w="6095" w:type="dxa"/>
          </w:tcPr>
          <w:p w:rsidR="00B54201" w:rsidRDefault="00045B88">
            <w:pPr>
              <w:spacing w:before="120" w:after="120"/>
              <w:jc w:val="left"/>
              <w:rPr>
                <w:highlight w:val="yellow"/>
              </w:rPr>
            </w:pPr>
            <w:r>
              <w:t>Manager designated responsible for water quality.</w:t>
            </w:r>
          </w:p>
        </w:tc>
      </w:tr>
    </w:tbl>
    <w:p w:rsidR="00B54201" w:rsidRDefault="00B54201"/>
    <w:sectPr w:rsidR="00B54201">
      <w:footerReference w:type="even" r:id="rId15"/>
      <w:footerReference w:type="default" r:id="rId16"/>
      <w:pgSz w:w="11907" w:h="16840" w:code="9"/>
      <w:pgMar w:top="1474" w:right="1361" w:bottom="2041" w:left="2438" w:header="0" w:footer="45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201" w:rsidRDefault="00045B88">
      <w:r>
        <w:separator/>
      </w:r>
    </w:p>
  </w:endnote>
  <w:endnote w:type="continuationSeparator" w:id="0">
    <w:p w:rsidR="00B54201" w:rsidRDefault="00045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Mäori">
    <w:altName w:val="Times New Roman"/>
    <w:charset w:val="00"/>
    <w:family w:val="roman"/>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INPro-Light">
    <w:altName w:val="DINPro-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201" w:rsidRDefault="00B54201">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201" w:rsidRDefault="00B5420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201" w:rsidRDefault="00045B88">
    <w:pPr>
      <w:pStyle w:val="VersoFooter"/>
    </w:pPr>
    <w:r>
      <w:rPr>
        <w:rStyle w:val="PageNumber"/>
      </w:rPr>
      <w:fldChar w:fldCharType="begin"/>
    </w:r>
    <w:r>
      <w:rPr>
        <w:rStyle w:val="PageNumber"/>
      </w:rPr>
      <w:instrText xml:space="preserve"> PAGE </w:instrText>
    </w:r>
    <w:r>
      <w:rPr>
        <w:rStyle w:val="PageNumber"/>
      </w:rPr>
      <w:fldChar w:fldCharType="separate"/>
    </w:r>
    <w:r w:rsidR="004D6ED1">
      <w:rPr>
        <w:rStyle w:val="PageNumber"/>
        <w:noProof/>
      </w:rPr>
      <w:t>iv</w:t>
    </w:r>
    <w:r>
      <w:rPr>
        <w:rStyle w:val="PageNumber"/>
      </w:rPr>
      <w:fldChar w:fldCharType="end"/>
    </w:r>
    <w:r>
      <w:rPr>
        <w:rStyle w:val="PageNumber"/>
      </w:rPr>
      <w:tab/>
    </w:r>
    <w:r>
      <w:t>[Title]</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201" w:rsidRDefault="00045B88">
    <w:pPr>
      <w:pStyle w:val="RectoFooter"/>
      <w:tabs>
        <w:tab w:val="clear" w:pos="7201"/>
        <w:tab w:val="right" w:pos="7371"/>
      </w:tabs>
      <w:rPr>
        <w:rStyle w:val="PageNumber"/>
      </w:rPr>
    </w:pPr>
    <w:r>
      <w:rPr>
        <w:b w:val="0"/>
      </w:rPr>
      <w:t>Ref D2.4, Version 1</w:t>
    </w:r>
    <w:r>
      <w:rPr>
        <w:b w:val="0"/>
      </w:rPr>
      <w:tab/>
    </w:r>
    <w:r w:rsidR="00382E7E">
      <w:t>Water Safety</w:t>
    </w:r>
    <w:r>
      <w:t xml:space="preserve"> Plan Guide:</w:t>
    </w:r>
    <w:r>
      <w:tab/>
    </w:r>
    <w:r>
      <w:rPr>
        <w:rStyle w:val="PageNumber"/>
      </w:rPr>
      <w:fldChar w:fldCharType="begin"/>
    </w:r>
    <w:r>
      <w:rPr>
        <w:rStyle w:val="PageNumber"/>
      </w:rPr>
      <w:instrText xml:space="preserve"> PAGE </w:instrText>
    </w:r>
    <w:r>
      <w:rPr>
        <w:rStyle w:val="PageNumber"/>
      </w:rPr>
      <w:fldChar w:fldCharType="separate"/>
    </w:r>
    <w:r w:rsidR="006631C7">
      <w:rPr>
        <w:rStyle w:val="PageNumber"/>
        <w:noProof/>
      </w:rPr>
      <w:t>iii</w:t>
    </w:r>
    <w:r>
      <w:rPr>
        <w:rStyle w:val="PageNumber"/>
      </w:rPr>
      <w:fldChar w:fldCharType="end"/>
    </w:r>
  </w:p>
  <w:p w:rsidR="00B54201" w:rsidRDefault="00045B88">
    <w:pPr>
      <w:pStyle w:val="RectoFooter"/>
      <w:tabs>
        <w:tab w:val="clear" w:pos="7201"/>
        <w:tab w:val="right" w:pos="7371"/>
      </w:tabs>
    </w:pPr>
    <w:r>
      <w:rPr>
        <w:b w:val="0"/>
      </w:rPr>
      <w:t>J</w:t>
    </w:r>
    <w:r w:rsidR="004055C5">
      <w:rPr>
        <w:b w:val="0"/>
      </w:rPr>
      <w:t>anuary</w:t>
    </w:r>
    <w:r>
      <w:rPr>
        <w:b w:val="0"/>
      </w:rPr>
      <w:t xml:space="preserve"> 20</w:t>
    </w:r>
    <w:r w:rsidR="004055C5">
      <w:rPr>
        <w:b w:val="0"/>
      </w:rPr>
      <w:t>14</w:t>
    </w:r>
    <w:r>
      <w:tab/>
      <w:t>Distribution System – Backflow Prevention</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201" w:rsidRDefault="00B54201">
    <w:pPr>
      <w:pStyle w:val="Footer"/>
      <w:rPr>
        <w:rStyle w:val="PageNumber"/>
        <w:b/>
        <w:sz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201" w:rsidRDefault="00045B88">
    <w:pPr>
      <w:pStyle w:val="VersoFooter"/>
      <w:tabs>
        <w:tab w:val="right" w:pos="8080"/>
      </w:tabs>
      <w:rPr>
        <w:b w:val="0"/>
      </w:rPr>
    </w:pPr>
    <w:r>
      <w:rPr>
        <w:rStyle w:val="PageNumber"/>
      </w:rPr>
      <w:fldChar w:fldCharType="begin"/>
    </w:r>
    <w:r>
      <w:rPr>
        <w:rStyle w:val="PageNumber"/>
      </w:rPr>
      <w:instrText xml:space="preserve"> PAGE </w:instrText>
    </w:r>
    <w:r>
      <w:rPr>
        <w:rStyle w:val="PageNumber"/>
      </w:rPr>
      <w:fldChar w:fldCharType="separate"/>
    </w:r>
    <w:r w:rsidR="006631C7">
      <w:rPr>
        <w:rStyle w:val="PageNumber"/>
        <w:noProof/>
      </w:rPr>
      <w:t>8</w:t>
    </w:r>
    <w:r>
      <w:rPr>
        <w:rStyle w:val="PageNumber"/>
      </w:rPr>
      <w:fldChar w:fldCharType="end"/>
    </w:r>
    <w:r>
      <w:tab/>
    </w:r>
    <w:r w:rsidR="00382E7E">
      <w:t>Water Safety</w:t>
    </w:r>
    <w:r>
      <w:t xml:space="preserve"> Plan Guide:</w:t>
    </w:r>
    <w:r>
      <w:rPr>
        <w:b w:val="0"/>
      </w:rPr>
      <w:tab/>
      <w:t>Ref D2.4, Version 1</w:t>
    </w:r>
  </w:p>
  <w:p w:rsidR="00B54201" w:rsidRDefault="00045B88">
    <w:pPr>
      <w:pStyle w:val="VersoFooter"/>
      <w:tabs>
        <w:tab w:val="right" w:pos="8080"/>
      </w:tabs>
      <w:rPr>
        <w:b w:val="0"/>
      </w:rPr>
    </w:pPr>
    <w:r>
      <w:tab/>
      <w:t>Distribution System – Backflow Prevention</w:t>
    </w:r>
    <w:r>
      <w:rPr>
        <w:b w:val="0"/>
      </w:rPr>
      <w:tab/>
      <w:t>J</w:t>
    </w:r>
    <w:r w:rsidR="004055C5">
      <w:rPr>
        <w:b w:val="0"/>
      </w:rPr>
      <w:t>anuary</w:t>
    </w:r>
    <w:r>
      <w:rPr>
        <w:b w:val="0"/>
      </w:rPr>
      <w:t xml:space="preserve"> 20</w:t>
    </w:r>
    <w:r w:rsidR="004055C5">
      <w:rPr>
        <w:b w:val="0"/>
      </w:rPr>
      <w:t>14</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201" w:rsidRDefault="00045B88">
    <w:pPr>
      <w:pStyle w:val="RectoFooter"/>
      <w:tabs>
        <w:tab w:val="clear" w:pos="7201"/>
        <w:tab w:val="right" w:pos="7371"/>
      </w:tabs>
      <w:rPr>
        <w:rStyle w:val="PageNumber"/>
      </w:rPr>
    </w:pPr>
    <w:r>
      <w:rPr>
        <w:b w:val="0"/>
      </w:rPr>
      <w:t>Ref D2.4, Version 1</w:t>
    </w:r>
    <w:r>
      <w:rPr>
        <w:b w:val="0"/>
      </w:rPr>
      <w:tab/>
    </w:r>
    <w:r w:rsidR="00382E7E">
      <w:t>Water Safety</w:t>
    </w:r>
    <w:r>
      <w:t xml:space="preserve"> Plan Guide:</w:t>
    </w:r>
    <w:r>
      <w:tab/>
    </w:r>
    <w:r>
      <w:rPr>
        <w:rStyle w:val="PageNumber"/>
      </w:rPr>
      <w:fldChar w:fldCharType="begin"/>
    </w:r>
    <w:r>
      <w:rPr>
        <w:rStyle w:val="PageNumber"/>
      </w:rPr>
      <w:instrText xml:space="preserve"> PAGE </w:instrText>
    </w:r>
    <w:r>
      <w:rPr>
        <w:rStyle w:val="PageNumber"/>
      </w:rPr>
      <w:fldChar w:fldCharType="separate"/>
    </w:r>
    <w:r w:rsidR="006631C7">
      <w:rPr>
        <w:rStyle w:val="PageNumber"/>
        <w:noProof/>
      </w:rPr>
      <w:t>9</w:t>
    </w:r>
    <w:r>
      <w:rPr>
        <w:rStyle w:val="PageNumber"/>
      </w:rPr>
      <w:fldChar w:fldCharType="end"/>
    </w:r>
  </w:p>
  <w:p w:rsidR="00B54201" w:rsidRDefault="00045B88">
    <w:pPr>
      <w:pStyle w:val="RectoFooter"/>
      <w:tabs>
        <w:tab w:val="clear" w:pos="7201"/>
        <w:tab w:val="right" w:pos="7371"/>
      </w:tabs>
    </w:pPr>
    <w:r>
      <w:rPr>
        <w:b w:val="0"/>
      </w:rPr>
      <w:t>J</w:t>
    </w:r>
    <w:r w:rsidR="004055C5">
      <w:rPr>
        <w:b w:val="0"/>
      </w:rPr>
      <w:t>anuary</w:t>
    </w:r>
    <w:r>
      <w:rPr>
        <w:b w:val="0"/>
      </w:rPr>
      <w:t xml:space="preserve"> 20</w:t>
    </w:r>
    <w:r w:rsidR="004055C5">
      <w:rPr>
        <w:b w:val="0"/>
      </w:rPr>
      <w:t>14</w:t>
    </w:r>
    <w:r>
      <w:tab/>
      <w:t>Distribution System – Backflow Prevention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201" w:rsidRDefault="00045B88">
      <w:r>
        <w:separator/>
      </w:r>
    </w:p>
  </w:footnote>
  <w:footnote w:type="continuationSeparator" w:id="0">
    <w:p w:rsidR="00B54201" w:rsidRDefault="00045B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935"/>
    <w:multiLevelType w:val="singleLevel"/>
    <w:tmpl w:val="A27AB916"/>
    <w:lvl w:ilvl="0">
      <w:start w:val="1"/>
      <w:numFmt w:val="bullet"/>
      <w:pStyle w:val="TableDash"/>
      <w:lvlText w:val="–"/>
      <w:lvlJc w:val="left"/>
      <w:pPr>
        <w:tabs>
          <w:tab w:val="num" w:pos="644"/>
        </w:tabs>
        <w:ind w:left="567" w:hanging="283"/>
      </w:pPr>
      <w:rPr>
        <w:rFonts w:ascii="Times New Roman" w:hAnsi="Times New Roman" w:hint="default"/>
        <w:sz w:val="24"/>
      </w:rPr>
    </w:lvl>
  </w:abstractNum>
  <w:abstractNum w:abstractNumId="1" w15:restartNumberingAfterBreak="0">
    <w:nsid w:val="1F4C646A"/>
    <w:multiLevelType w:val="singleLevel"/>
    <w:tmpl w:val="68340556"/>
    <w:lvl w:ilvl="0">
      <w:start w:val="1"/>
      <w:numFmt w:val="bullet"/>
      <w:pStyle w:val="Arrow"/>
      <w:lvlText w:val=""/>
      <w:lvlJc w:val="left"/>
      <w:pPr>
        <w:tabs>
          <w:tab w:val="num" w:pos="1701"/>
        </w:tabs>
        <w:ind w:left="1701" w:hanging="567"/>
      </w:pPr>
      <w:rPr>
        <w:rFonts w:ascii="Symbol" w:hAnsi="Symbol" w:hint="default"/>
        <w:sz w:val="16"/>
      </w:rPr>
    </w:lvl>
  </w:abstractNum>
  <w:abstractNum w:abstractNumId="2" w15:restartNumberingAfterBreak="0">
    <w:nsid w:val="28F57520"/>
    <w:multiLevelType w:val="singleLevel"/>
    <w:tmpl w:val="31B43F50"/>
    <w:lvl w:ilvl="0">
      <w:start w:val="1"/>
      <w:numFmt w:val="bullet"/>
      <w:pStyle w:val="Dash"/>
      <w:lvlText w:val="–"/>
      <w:lvlJc w:val="left"/>
      <w:pPr>
        <w:tabs>
          <w:tab w:val="num" w:pos="1134"/>
        </w:tabs>
        <w:ind w:left="1134" w:hanging="567"/>
      </w:pPr>
      <w:rPr>
        <w:rFonts w:ascii="Times New Roman" w:hAnsi="Times New Roman" w:hint="default"/>
        <w:sz w:val="24"/>
      </w:rPr>
    </w:lvl>
  </w:abstractNum>
  <w:abstractNum w:abstractNumId="3" w15:restartNumberingAfterBreak="0">
    <w:nsid w:val="4BBB0A5B"/>
    <w:multiLevelType w:val="singleLevel"/>
    <w:tmpl w:val="00AE5BAC"/>
    <w:lvl w:ilvl="0">
      <w:start w:val="1"/>
      <w:numFmt w:val="bullet"/>
      <w:pStyle w:val="TableBullet"/>
      <w:lvlText w:val=""/>
      <w:lvlJc w:val="left"/>
      <w:pPr>
        <w:tabs>
          <w:tab w:val="num" w:pos="360"/>
        </w:tabs>
        <w:ind w:left="284" w:hanging="284"/>
      </w:pPr>
      <w:rPr>
        <w:rFonts w:ascii="Symbol" w:hAnsi="Symbol" w:hint="default"/>
        <w:sz w:val="16"/>
      </w:rPr>
    </w:lvl>
  </w:abstractNum>
  <w:abstractNum w:abstractNumId="4" w15:restartNumberingAfterBreak="0">
    <w:nsid w:val="7C1218D3"/>
    <w:multiLevelType w:val="singleLevel"/>
    <w:tmpl w:val="BB7AD752"/>
    <w:lvl w:ilvl="0">
      <w:start w:val="1"/>
      <w:numFmt w:val="bullet"/>
      <w:pStyle w:val="Bullet"/>
      <w:lvlText w:val=""/>
      <w:lvlJc w:val="left"/>
      <w:pPr>
        <w:tabs>
          <w:tab w:val="num" w:pos="567"/>
        </w:tabs>
        <w:ind w:left="567" w:hanging="567"/>
      </w:pPr>
      <w:rPr>
        <w:rFonts w:ascii="Symbol" w:hAnsi="Symbol" w:hint="default"/>
        <w:sz w:val="20"/>
      </w:rPr>
    </w:lvl>
  </w:abstractNum>
  <w:num w:numId="1">
    <w:abstractNumId w:val="2"/>
  </w:num>
  <w:num w:numId="2">
    <w:abstractNumId w:val="4"/>
  </w:num>
  <w:num w:numId="3">
    <w:abstractNumId w:val="3"/>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mirrorMargins/>
  <w:revisionView w:inkAnnotations="0"/>
  <w:defaultTabStop w:val="567"/>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E7E"/>
    <w:rsid w:val="00045B88"/>
    <w:rsid w:val="00382E7E"/>
    <w:rsid w:val="004055C5"/>
    <w:rsid w:val="00467130"/>
    <w:rsid w:val="004D6ED1"/>
    <w:rsid w:val="006631C7"/>
    <w:rsid w:val="0069744B"/>
    <w:rsid w:val="007105C3"/>
    <w:rsid w:val="00B1312B"/>
    <w:rsid w:val="00B542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462261-D282-4678-97A2-28D5B2E8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Mäori" w:hAnsi="Times New Roman Mäori"/>
      <w:sz w:val="22"/>
      <w:lang w:eastAsia="en-US"/>
    </w:rPr>
  </w:style>
  <w:style w:type="paragraph" w:styleId="Heading1">
    <w:name w:val="heading 1"/>
    <w:basedOn w:val="Normal"/>
    <w:next w:val="Normal"/>
    <w:qFormat/>
    <w:pPr>
      <w:spacing w:after="480"/>
      <w:jc w:val="left"/>
      <w:outlineLvl w:val="0"/>
    </w:pPr>
    <w:rPr>
      <w:rFonts w:ascii="Univers (W1)" w:hAnsi="Univers (W1)"/>
      <w:b/>
      <w:sz w:val="48"/>
    </w:rPr>
  </w:style>
  <w:style w:type="paragraph" w:styleId="Heading2">
    <w:name w:val="heading 2"/>
    <w:basedOn w:val="Normal"/>
    <w:next w:val="Normal"/>
    <w:qFormat/>
    <w:pPr>
      <w:keepNext/>
      <w:spacing w:before="360" w:after="240"/>
      <w:jc w:val="left"/>
      <w:outlineLvl w:val="1"/>
    </w:pPr>
    <w:rPr>
      <w:rFonts w:ascii="Univers (W1)" w:hAnsi="Univers (W1)"/>
      <w:b/>
      <w:sz w:val="36"/>
    </w:rPr>
  </w:style>
  <w:style w:type="paragraph" w:styleId="Heading3">
    <w:name w:val="heading 3"/>
    <w:basedOn w:val="Normal"/>
    <w:next w:val="Normal"/>
    <w:qFormat/>
    <w:pPr>
      <w:keepNext/>
      <w:spacing w:before="240" w:after="240"/>
      <w:jc w:val="left"/>
      <w:outlineLvl w:val="2"/>
    </w:pPr>
    <w:rPr>
      <w:rFonts w:ascii="Univers (W1)" w:hAnsi="Univers (W1)"/>
      <w:b/>
      <w:sz w:val="28"/>
    </w:rPr>
  </w:style>
  <w:style w:type="paragraph" w:styleId="Heading4">
    <w:name w:val="heading 4"/>
    <w:basedOn w:val="Normal"/>
    <w:next w:val="Normal"/>
    <w:qFormat/>
    <w:pPr>
      <w:keepNext/>
      <w:spacing w:before="240" w:after="180"/>
      <w:jc w:val="left"/>
      <w:outlineLvl w:val="3"/>
    </w:pPr>
    <w:rPr>
      <w:rFonts w:ascii="Univers (W1)" w:hAnsi="Univers (W1)"/>
      <w:b/>
      <w:sz w:val="24"/>
    </w:rPr>
  </w:style>
  <w:style w:type="paragraph" w:styleId="Heading5">
    <w:name w:val="heading 5"/>
    <w:basedOn w:val="Normal"/>
    <w:next w:val="Normal"/>
    <w:qFormat/>
    <w:pPr>
      <w:keepNext/>
      <w:spacing w:before="240" w:after="180"/>
      <w:jc w:val="left"/>
      <w:outlineLvl w:val="4"/>
    </w:pPr>
    <w:rPr>
      <w:rFonts w:ascii="Univers (W1)" w:hAnsi="Univers (W1)"/>
      <w:sz w:val="24"/>
    </w:rPr>
  </w:style>
  <w:style w:type="paragraph" w:styleId="Heading6">
    <w:name w:val="heading 6"/>
    <w:basedOn w:val="Normal"/>
    <w:next w:val="Normal"/>
    <w:qFormat/>
    <w:pPr>
      <w:keepNext/>
      <w:jc w:val="center"/>
      <w:outlineLvl w:val="5"/>
    </w:pPr>
    <w:rPr>
      <w:rFonts w:ascii="Times New Roman" w:hAnsi="Times New Roman"/>
      <w:b/>
      <w:sz w:val="24"/>
      <w:lang w:val="en-GB"/>
    </w:rPr>
  </w:style>
  <w:style w:type="paragraph" w:styleId="Heading7">
    <w:name w:val="heading 7"/>
    <w:basedOn w:val="Normal"/>
    <w:next w:val="Normal"/>
    <w:qFormat/>
    <w:pPr>
      <w:keepNext/>
      <w:jc w:val="center"/>
      <w:outlineLvl w:val="6"/>
    </w:pPr>
    <w:rPr>
      <w:rFonts w:ascii="Times New Roman" w:hAnsi="Times New Roman"/>
      <w:i/>
      <w:sz w:val="24"/>
      <w:lang w:val="en-GB"/>
    </w:rPr>
  </w:style>
  <w:style w:type="paragraph" w:styleId="Heading8">
    <w:name w:val="heading 8"/>
    <w:basedOn w:val="Normal"/>
    <w:next w:val="Normal"/>
    <w:qFormat/>
    <w:pPr>
      <w:keepNext/>
      <w:tabs>
        <w:tab w:val="left" w:pos="175"/>
        <w:tab w:val="left" w:pos="6804"/>
      </w:tabs>
      <w:jc w:val="center"/>
      <w:outlineLvl w:val="7"/>
    </w:pPr>
    <w:rPr>
      <w:rFonts w:ascii="Arial Narrow" w:hAnsi="Arial Narrow"/>
      <w:i/>
      <w:sz w:val="20"/>
      <w:lang w:val="en-GB"/>
    </w:rPr>
  </w:style>
  <w:style w:type="paragraph" w:styleId="Heading9">
    <w:name w:val="heading 9"/>
    <w:basedOn w:val="Normal"/>
    <w:next w:val="Normal"/>
    <w:qFormat/>
    <w:pPr>
      <w:keepNext/>
      <w:tabs>
        <w:tab w:val="left" w:pos="175"/>
        <w:tab w:val="left" w:pos="6804"/>
      </w:tabs>
      <w:jc w:val="center"/>
      <w:outlineLvl w:val="8"/>
    </w:pPr>
    <w:rPr>
      <w:rFonts w:ascii="Arial Narrow" w:hAnsi="Arial Narrow"/>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right" w:pos="8108"/>
      </w:tabs>
      <w:spacing w:before="240"/>
      <w:ind w:right="1134"/>
      <w:jc w:val="left"/>
    </w:pPr>
    <w:rPr>
      <w:rFonts w:ascii="Univers (W1)" w:hAnsi="Univers (W1)"/>
      <w:sz w:val="28"/>
    </w:rPr>
  </w:style>
  <w:style w:type="paragraph" w:styleId="TOC2">
    <w:name w:val="toc 2"/>
    <w:basedOn w:val="Normal"/>
    <w:next w:val="Normal"/>
    <w:semiHidden/>
    <w:pPr>
      <w:tabs>
        <w:tab w:val="right" w:pos="8108"/>
      </w:tabs>
      <w:spacing w:before="120"/>
      <w:ind w:left="284" w:right="1134"/>
      <w:jc w:val="left"/>
    </w:pPr>
    <w:rPr>
      <w:rFonts w:ascii="Univers (W1)" w:hAnsi="Univers (W1)"/>
      <w:sz w:val="20"/>
    </w:rPr>
  </w:style>
  <w:style w:type="paragraph" w:styleId="TOC3">
    <w:name w:val="toc 3"/>
    <w:basedOn w:val="Normal"/>
    <w:next w:val="Normal"/>
    <w:semiHidden/>
    <w:pPr>
      <w:tabs>
        <w:tab w:val="right" w:pos="8108"/>
      </w:tabs>
      <w:ind w:left="567" w:right="1134"/>
      <w:jc w:val="left"/>
    </w:pPr>
    <w:rPr>
      <w:rFonts w:ascii="Univers (W1)" w:hAnsi="Univers (W1)"/>
      <w:sz w:val="20"/>
    </w:rPr>
  </w:style>
  <w:style w:type="paragraph" w:customStyle="1" w:styleId="Bullet">
    <w:name w:val="Bullet"/>
    <w:basedOn w:val="Normal"/>
    <w:pPr>
      <w:numPr>
        <w:numId w:val="2"/>
      </w:numPr>
      <w:tabs>
        <w:tab w:val="clear" w:pos="567"/>
      </w:tabs>
      <w:spacing w:before="120"/>
    </w:pPr>
  </w:style>
  <w:style w:type="paragraph" w:styleId="Quote">
    <w:name w:val="Quote"/>
    <w:basedOn w:val="Normal"/>
    <w:next w:val="Normal"/>
    <w:qFormat/>
    <w:pPr>
      <w:spacing w:before="120"/>
      <w:ind w:left="567" w:right="567"/>
    </w:pPr>
  </w:style>
  <w:style w:type="paragraph" w:styleId="FootnoteText">
    <w:name w:val="footnote text"/>
    <w:basedOn w:val="Normal"/>
    <w:semiHidden/>
    <w:pPr>
      <w:spacing w:before="120"/>
      <w:ind w:left="284" w:hanging="284"/>
    </w:pPr>
    <w:rPr>
      <w:sz w:val="18"/>
    </w:rPr>
  </w:style>
  <w:style w:type="paragraph" w:styleId="Header">
    <w:name w:val="header"/>
    <w:basedOn w:val="Normal"/>
    <w:semiHidden/>
  </w:style>
  <w:style w:type="paragraph" w:styleId="Title">
    <w:name w:val="Title"/>
    <w:basedOn w:val="Normal"/>
    <w:next w:val="Normal"/>
    <w:qFormat/>
    <w:pPr>
      <w:spacing w:before="1680"/>
      <w:jc w:val="right"/>
    </w:pPr>
    <w:rPr>
      <w:rFonts w:ascii="Univers (W1)" w:hAnsi="Univers (W1)"/>
      <w:b/>
      <w:sz w:val="64"/>
    </w:rPr>
  </w:style>
  <w:style w:type="paragraph" w:customStyle="1" w:styleId="Imprint">
    <w:name w:val="Imprint"/>
    <w:basedOn w:val="Normal"/>
    <w:next w:val="Normal"/>
    <w:pPr>
      <w:spacing w:after="240"/>
      <w:jc w:val="center"/>
    </w:pPr>
    <w:rPr>
      <w:rFonts w:ascii="Univers (W1)" w:hAnsi="Univers (W1)"/>
      <w:sz w:val="24"/>
    </w:rPr>
  </w:style>
  <w:style w:type="paragraph" w:styleId="Footer">
    <w:name w:val="footer"/>
    <w:basedOn w:val="Normal"/>
    <w:semiHidden/>
    <w:rPr>
      <w:rFonts w:ascii="Arial" w:hAnsi="Arial"/>
      <w:b/>
      <w:sz w:val="20"/>
    </w:rPr>
  </w:style>
  <w:style w:type="character" w:styleId="PageNumber">
    <w:name w:val="page number"/>
    <w:basedOn w:val="DefaultParagraphFont"/>
    <w:semiHidden/>
    <w:rPr>
      <w:rFonts w:ascii="Arial" w:hAnsi="Arial"/>
      <w:b/>
      <w:sz w:val="28"/>
    </w:rPr>
  </w:style>
  <w:style w:type="paragraph" w:customStyle="1" w:styleId="VersoFooter">
    <w:name w:val="Verso Footer"/>
    <w:basedOn w:val="Footer"/>
    <w:next w:val="Normal"/>
    <w:pPr>
      <w:pBdr>
        <w:top w:val="single" w:sz="6" w:space="15" w:color="auto"/>
      </w:pBdr>
      <w:tabs>
        <w:tab w:val="left" w:pos="851"/>
      </w:tabs>
    </w:pPr>
    <w:rPr>
      <w:rFonts w:ascii="Univers (W1)" w:hAnsi="Univers (W1)"/>
    </w:rPr>
  </w:style>
  <w:style w:type="paragraph" w:customStyle="1" w:styleId="RectoFooter">
    <w:name w:val="Recto Footer"/>
    <w:basedOn w:val="Footer"/>
    <w:next w:val="Normal"/>
    <w:pPr>
      <w:pBdr>
        <w:top w:val="single" w:sz="6" w:space="15" w:color="auto"/>
      </w:pBdr>
      <w:tabs>
        <w:tab w:val="right" w:pos="7201"/>
        <w:tab w:val="right" w:pos="8051"/>
      </w:tabs>
    </w:pPr>
    <w:rPr>
      <w:rFonts w:ascii="Univers (W1)" w:hAnsi="Univers (W1)"/>
    </w:rPr>
  </w:style>
  <w:style w:type="paragraph" w:styleId="TOC4">
    <w:name w:val="toc 4"/>
    <w:basedOn w:val="Normal"/>
    <w:next w:val="Normal"/>
    <w:semiHidden/>
    <w:pPr>
      <w:tabs>
        <w:tab w:val="right" w:pos="8108"/>
      </w:tabs>
      <w:ind w:left="630"/>
      <w:jc w:val="left"/>
    </w:pPr>
    <w:rPr>
      <w:rFonts w:ascii="Times New Roman" w:hAnsi="Times New Roman"/>
      <w:sz w:val="20"/>
    </w:rPr>
  </w:style>
  <w:style w:type="paragraph" w:customStyle="1" w:styleId="Figure">
    <w:name w:val="Figure"/>
    <w:basedOn w:val="Normal"/>
    <w:next w:val="Normal"/>
    <w:pPr>
      <w:keepNext/>
      <w:spacing w:before="240" w:after="180"/>
      <w:ind w:left="1134" w:hanging="1134"/>
      <w:jc w:val="left"/>
    </w:pPr>
    <w:rPr>
      <w:rFonts w:ascii="Univers (W1)" w:hAnsi="Univers (W1)"/>
      <w:b/>
      <w:sz w:val="20"/>
    </w:rPr>
  </w:style>
  <w:style w:type="paragraph" w:customStyle="1" w:styleId="TableText">
    <w:name w:val="TableText"/>
    <w:basedOn w:val="Normal"/>
    <w:pPr>
      <w:spacing w:before="80" w:after="80"/>
      <w:jc w:val="left"/>
    </w:pPr>
    <w:rPr>
      <w:rFonts w:ascii="Arial Mäori" w:hAnsi="Arial Mäori"/>
      <w:sz w:val="16"/>
    </w:rPr>
  </w:style>
  <w:style w:type="paragraph" w:customStyle="1" w:styleId="Dash">
    <w:name w:val="Dash"/>
    <w:basedOn w:val="Bullet"/>
    <w:pPr>
      <w:numPr>
        <w:numId w:val="1"/>
      </w:numPr>
      <w:tabs>
        <w:tab w:val="clear" w:pos="1134"/>
      </w:tabs>
      <w:spacing w:before="60"/>
    </w:pPr>
  </w:style>
  <w:style w:type="paragraph" w:customStyle="1" w:styleId="Table">
    <w:name w:val="Table"/>
    <w:basedOn w:val="Figure"/>
    <w:next w:val="Normal"/>
  </w:style>
  <w:style w:type="paragraph" w:customStyle="1" w:styleId="TableBullet">
    <w:name w:val="TableBullet"/>
    <w:basedOn w:val="TableText"/>
    <w:pPr>
      <w:numPr>
        <w:numId w:val="3"/>
      </w:numPr>
      <w:tabs>
        <w:tab w:val="clear" w:pos="360"/>
      </w:tabs>
      <w:spacing w:after="0"/>
    </w:pPr>
  </w:style>
  <w:style w:type="paragraph" w:customStyle="1" w:styleId="IntroHead">
    <w:name w:val="IntroHead"/>
    <w:basedOn w:val="Heading1"/>
    <w:next w:val="Normal"/>
    <w:pPr>
      <w:spacing w:after="840"/>
      <w:outlineLvl w:val="9"/>
    </w:pPr>
  </w:style>
  <w:style w:type="paragraph" w:customStyle="1" w:styleId="Source">
    <w:name w:val="Source"/>
    <w:basedOn w:val="Figure"/>
    <w:next w:val="Normal"/>
    <w:pPr>
      <w:keepNext w:val="0"/>
      <w:spacing w:before="120" w:after="0"/>
      <w:ind w:left="0" w:firstLine="0"/>
    </w:pPr>
    <w:rPr>
      <w:b w:val="0"/>
      <w:sz w:val="16"/>
    </w:rPr>
  </w:style>
  <w:style w:type="paragraph" w:customStyle="1" w:styleId="Subhead">
    <w:name w:val="Subhead"/>
    <w:basedOn w:val="Normal"/>
    <w:next w:val="Normal"/>
    <w:pPr>
      <w:jc w:val="right"/>
    </w:pPr>
    <w:rPr>
      <w:sz w:val="48"/>
    </w:rPr>
  </w:style>
  <w:style w:type="paragraph" w:customStyle="1" w:styleId="Note">
    <w:name w:val="Note"/>
    <w:basedOn w:val="Normal"/>
    <w:pPr>
      <w:spacing w:before="80"/>
      <w:ind w:left="284" w:hanging="284"/>
    </w:pPr>
    <w:rPr>
      <w:rFonts w:ascii="Arial Mäori" w:hAnsi="Arial Mäori"/>
      <w:sz w:val="16"/>
    </w:rPr>
  </w:style>
  <w:style w:type="paragraph" w:customStyle="1" w:styleId="TableDash">
    <w:name w:val="TableDash"/>
    <w:basedOn w:val="TableText"/>
    <w:pPr>
      <w:numPr>
        <w:numId w:val="4"/>
      </w:numPr>
      <w:tabs>
        <w:tab w:val="clear" w:pos="644"/>
      </w:tabs>
      <w:spacing w:before="0" w:after="0"/>
      <w:ind w:left="568" w:hanging="284"/>
    </w:pPr>
  </w:style>
  <w:style w:type="character" w:styleId="FootnoteReference">
    <w:name w:val="footnote reference"/>
    <w:basedOn w:val="DefaultParagraphFont"/>
    <w:semiHidden/>
    <w:rPr>
      <w:vertAlign w:val="superscript"/>
    </w:rPr>
  </w:style>
  <w:style w:type="paragraph" w:customStyle="1" w:styleId="Arrow">
    <w:name w:val="Arrow"/>
    <w:basedOn w:val="Normal"/>
    <w:pPr>
      <w:numPr>
        <w:numId w:val="5"/>
      </w:numPr>
      <w:tabs>
        <w:tab w:val="clear" w:pos="1701"/>
      </w:tabs>
    </w:pPr>
  </w:style>
  <w:style w:type="paragraph" w:styleId="BalloonText">
    <w:name w:val="Balloon Text"/>
    <w:basedOn w:val="Normal"/>
    <w:link w:val="BalloonTextChar"/>
    <w:uiPriority w:val="99"/>
    <w:semiHidden/>
    <w:unhideWhenUsed/>
    <w:rsid w:val="0069744B"/>
    <w:rPr>
      <w:rFonts w:ascii="Tahoma" w:hAnsi="Tahoma" w:cs="Tahoma"/>
      <w:sz w:val="16"/>
      <w:szCs w:val="16"/>
    </w:rPr>
  </w:style>
  <w:style w:type="character" w:customStyle="1" w:styleId="BalloonTextChar">
    <w:name w:val="Balloon Text Char"/>
    <w:basedOn w:val="DefaultParagraphFont"/>
    <w:link w:val="BalloonText"/>
    <w:uiPriority w:val="99"/>
    <w:semiHidden/>
    <w:rsid w:val="0069744B"/>
    <w:rPr>
      <w:rFonts w:ascii="Tahoma" w:hAnsi="Tahoma" w:cs="Tahoma"/>
      <w:sz w:val="16"/>
      <w:szCs w:val="16"/>
      <w:lang w:eastAsia="en-US"/>
    </w:rPr>
  </w:style>
  <w:style w:type="character" w:customStyle="1" w:styleId="A4">
    <w:name w:val="A4"/>
    <w:uiPriority w:val="99"/>
    <w:rsid w:val="004D6ED1"/>
    <w:rPr>
      <w:rFonts w:cs="DINPro-Light"/>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18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2036</Words>
  <Characters>12340</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Water Safety Plan Guide: Distribution System – Backflow Prevention</vt:lpstr>
    </vt:vector>
  </TitlesOfParts>
  <Company>Wordprocessing Services</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Safety Plan Guide: Distribution System – Backflow Prevention</dc:title>
  <dc:creator>Ministry of Health</dc:creator>
  <cp:lastModifiedBy>Amy Wharram- Communications Manager</cp:lastModifiedBy>
  <cp:revision>2</cp:revision>
  <cp:lastPrinted>2001-06-23T05:54:00Z</cp:lastPrinted>
  <dcterms:created xsi:type="dcterms:W3CDTF">2019-04-12T03:36:00Z</dcterms:created>
  <dcterms:modified xsi:type="dcterms:W3CDTF">2019-04-12T03:36:00Z</dcterms:modified>
</cp:coreProperties>
</file>